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28"/>
        <w:ind w:firstLine="0"/>
        <w:jc w:val="both"/>
        <w:rPr>
          <w:rFonts w:hint="eastAsia" w:eastAsia="黑体"/>
          <w:b/>
          <w:bCs/>
          <w:color w:val="000000"/>
          <w:sz w:val="84"/>
        </w:rPr>
      </w:pPr>
      <w:r>
        <w:rPr>
          <w:rFonts w:hint="eastAsia" w:eastAsia="黑体"/>
          <w:b/>
          <w:bCs/>
          <w:color w:val="000000"/>
          <w:sz w:val="84"/>
        </w:rPr>
      </w:r>
      <w:r/>
    </w:p>
    <w:p>
      <w:pPr>
        <w:pStyle w:val="1328"/>
        <w:ind w:firstLine="0"/>
        <w:jc w:val="center"/>
        <w:rPr>
          <w:rFonts w:hint="eastAsia" w:eastAsia="黑体"/>
          <w:b/>
          <w:bCs/>
          <w:color w:val="000000"/>
          <w:sz w:val="84"/>
        </w:rPr>
      </w:pPr>
      <w:r>
        <w:rPr>
          <w:rFonts w:hint="eastAsia" w:eastAsia="黑体"/>
          <w:b/>
          <w:bCs/>
          <w:color w:val="000000"/>
          <w:sz w:val="84"/>
        </w:rPr>
        <w:t xml:space="preserve">招　标　文　件</w:t>
      </w:r>
      <w:r/>
    </w:p>
    <w:p>
      <w:pPr>
        <w:pStyle w:val="1328"/>
        <w:ind w:left="0" w:firstLine="1285"/>
        <w:jc w:val="both"/>
        <w:rPr>
          <w:rFonts w:hint="eastAsia"/>
          <w:b/>
          <w:bCs/>
          <w:color w:val="000000"/>
          <w:sz w:val="32"/>
        </w:rPr>
      </w:pPr>
      <w:r>
        <w:rPr>
          <w:rFonts w:hint="eastAsia"/>
          <w:b/>
          <w:bCs/>
          <w:color w:val="000000"/>
          <w:sz w:val="32"/>
        </w:rPr>
      </w:r>
      <w:r/>
    </w:p>
    <w:p>
      <w:pPr>
        <w:pStyle w:val="1328"/>
        <w:ind w:left="0" w:firstLine="1285"/>
        <w:jc w:val="both"/>
        <w:rPr>
          <w:rFonts w:hint="eastAsia"/>
          <w:b/>
          <w:bCs/>
          <w:color w:val="000000"/>
          <w:sz w:val="32"/>
        </w:rPr>
      </w:pPr>
      <w:r>
        <w:rPr>
          <w:rFonts w:hint="eastAsia"/>
          <w:b/>
          <w:bCs/>
          <w:color w:val="000000"/>
          <w:sz w:val="32"/>
        </w:rPr>
      </w:r>
      <w:r/>
    </w:p>
    <w:p>
      <w:pPr>
        <w:pStyle w:val="1328"/>
        <w:ind w:left="0" w:firstLine="1285"/>
        <w:jc w:val="both"/>
        <w:rPr>
          <w:rFonts w:hint="eastAsia"/>
          <w:b/>
          <w:bCs/>
          <w:color w:val="000000"/>
          <w:sz w:val="32"/>
        </w:rPr>
      </w:pPr>
      <w:r>
        <w:rPr>
          <w:rFonts w:hint="eastAsia"/>
          <w:b/>
          <w:bCs/>
          <w:color w:val="000000"/>
          <w:sz w:val="32"/>
        </w:rPr>
      </w:r>
      <w:r/>
    </w:p>
    <w:p>
      <w:pPr>
        <w:pStyle w:val="1328"/>
        <w:ind w:left="0" w:firstLine="1285"/>
        <w:jc w:val="both"/>
        <w:rPr>
          <w:rFonts w:hint="eastAsia"/>
          <w:b/>
          <w:bCs/>
          <w:color w:val="000000"/>
          <w:sz w:val="32"/>
        </w:rPr>
      </w:pPr>
      <w:r>
        <w:rPr>
          <w:rFonts w:hint="eastAsia"/>
          <w:b/>
          <w:bCs/>
          <w:color w:val="000000"/>
          <w:sz w:val="32"/>
        </w:rPr>
      </w:r>
      <w:r/>
    </w:p>
    <w:p>
      <w:pPr>
        <w:pStyle w:val="1328"/>
        <w:ind w:left="0" w:firstLine="1285"/>
        <w:jc w:val="both"/>
        <w:rPr>
          <w:rFonts w:hint="eastAsia"/>
          <w:b/>
          <w:bCs/>
          <w:color w:val="000000"/>
          <w:sz w:val="32"/>
        </w:rPr>
      </w:pPr>
      <w:r>
        <w:rPr>
          <w:rFonts w:hint="eastAsia"/>
          <w:b/>
          <w:bCs/>
          <w:color w:val="000000"/>
          <w:sz w:val="32"/>
        </w:rPr>
      </w:r>
      <w:r/>
    </w:p>
    <w:p>
      <w:pPr>
        <w:pStyle w:val="1328"/>
        <w:ind w:left="0" w:firstLine="1285"/>
        <w:jc w:val="both"/>
        <w:rPr>
          <w:rFonts w:hint="eastAsia"/>
          <w:b/>
          <w:bCs/>
          <w:color w:val="000000"/>
          <w:sz w:val="32"/>
        </w:rPr>
      </w:pPr>
      <w:r>
        <w:rPr>
          <w:rFonts w:hint="eastAsia"/>
          <w:b/>
          <w:bCs/>
          <w:color w:val="000000"/>
          <w:sz w:val="32"/>
        </w:rPr>
      </w:r>
      <w:r/>
    </w:p>
    <w:p>
      <w:pPr>
        <w:pStyle w:val="1328"/>
        <w:ind w:left="0" w:firstLine="1285"/>
        <w:jc w:val="both"/>
        <w:rPr>
          <w:rFonts w:hint="eastAsia" w:ascii="Arial" w:hAnsi="Arial" w:eastAsia="宋体" w:cs="Times New Roman"/>
          <w:b/>
          <w:bCs/>
          <w:color w:val="000000"/>
          <w:sz w:val="32"/>
        </w:rPr>
      </w:pPr>
      <w:r>
        <w:rPr>
          <w:rFonts w:hint="eastAsia"/>
          <w:b/>
          <w:bCs/>
          <w:color w:val="000000"/>
          <w:sz w:val="32"/>
        </w:rPr>
        <w:t xml:space="preserve">项目名称</w:t>
      </w:r>
      <w:r>
        <w:rPr>
          <w:rFonts w:hint="eastAsia" w:ascii="Arial" w:hAnsi="Arial" w:eastAsia="宋体" w:cs="Times New Roman"/>
          <w:b/>
          <w:bCs/>
          <w:color w:val="000000"/>
          <w:sz w:val="32"/>
        </w:rPr>
        <w:t xml:space="preserve">：仪征市数据局新一代电子政务外网建设运行技术服务项目</w:t>
      </w:r>
      <w:r/>
    </w:p>
    <w:p>
      <w:pPr>
        <w:ind w:firstLine="1285"/>
        <w:rPr>
          <w:rFonts w:hint="default" w:ascii="宋体" w:hAnsi="宋体" w:eastAsia="宋体" w:cs="宋体"/>
          <w:b/>
          <w:bCs/>
          <w:color w:val="000000"/>
          <w:sz w:val="24"/>
          <w:szCs w:val="24"/>
          <w:lang w:val="en-US" w:eastAsia="zh-CN"/>
        </w:rPr>
      </w:pPr>
      <w:r>
        <w:rPr>
          <w:rFonts w:hint="eastAsia"/>
          <w:b/>
          <w:bCs/>
          <w:color w:val="000000"/>
          <w:sz w:val="32"/>
        </w:rPr>
        <w:t xml:space="preserve">项目编号：JSZC-321081-JZCG-G2025-00</w:t>
      </w:r>
      <w:r>
        <w:rPr>
          <w:rFonts w:hint="eastAsia"/>
          <w:b/>
          <w:bCs/>
          <w:color w:val="000000"/>
          <w:sz w:val="32"/>
          <w:lang w:val="en-US" w:eastAsia="zh-CN"/>
        </w:rPr>
        <w:t xml:space="preserve">26</w:t>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b/>
          <w:color w:val="000000"/>
          <w:sz w:val="30"/>
          <w:szCs w:val="30"/>
        </w:rPr>
      </w:pP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1328"/>
        <w:ind w:firstLine="0"/>
        <w:spacing w:before="0" w:after="0"/>
        <w:rPr>
          <w:rFonts w:hint="eastAsia" w:ascii="宋体" w:hAnsi="宋体"/>
          <w:color w:val="000000"/>
        </w:rPr>
      </w:pPr>
      <w:r>
        <w:rPr>
          <w:rFonts w:hint="eastAsia" w:ascii="宋体" w:hAnsi="宋体"/>
          <w:color w:val="000000"/>
        </w:rPr>
      </w:r>
      <w:r/>
    </w:p>
    <w:p>
      <w:pPr>
        <w:pStyle w:val="1328"/>
        <w:ind w:firstLine="0"/>
        <w:spacing w:before="0" w:after="0"/>
        <w:rPr>
          <w:rFonts w:hint="eastAsia" w:ascii="宋体" w:hAnsi="宋体"/>
          <w:color w:val="000000"/>
        </w:rPr>
      </w:pPr>
      <w:r>
        <w:rPr>
          <w:rFonts w:hint="eastAsia" w:ascii="宋体" w:hAnsi="宋体"/>
          <w:color w:val="000000"/>
        </w:rPr>
      </w:r>
      <w:r/>
    </w:p>
    <w:p>
      <w:pPr>
        <w:pStyle w:val="1328"/>
        <w:ind w:firstLine="0"/>
        <w:spacing w:before="0" w:after="0"/>
        <w:rPr>
          <w:rFonts w:hint="eastAsia" w:ascii="宋体" w:hAnsi="宋体"/>
          <w:color w:val="000000"/>
        </w:rPr>
      </w:pPr>
      <w:r>
        <w:rPr>
          <w:rFonts w:hint="eastAsia" w:ascii="宋体" w:hAnsi="宋体"/>
          <w:color w:val="000000"/>
        </w:rPr>
      </w:r>
      <w:r/>
    </w:p>
    <w:p>
      <w:pPr>
        <w:pStyle w:val="1328"/>
        <w:ind w:firstLine="0"/>
        <w:spacing w:before="0" w:after="0"/>
        <w:rPr>
          <w:rFonts w:hint="eastAsia" w:ascii="宋体" w:hAnsi="宋体"/>
          <w:color w:val="000000"/>
        </w:rPr>
      </w:pPr>
      <w:r>
        <w:rPr>
          <w:rFonts w:hint="eastAsia" w:ascii="宋体" w:hAnsi="宋体"/>
          <w:color w:val="000000"/>
        </w:rPr>
      </w:r>
      <w:r/>
    </w:p>
    <w:p>
      <w:pPr>
        <w:pStyle w:val="1328"/>
        <w:ind w:firstLine="0"/>
        <w:jc w:val="center"/>
        <w:rPr>
          <w:rFonts w:hint="default"/>
          <w:b/>
          <w:bCs/>
          <w:color w:val="000000"/>
          <w:sz w:val="32"/>
          <w:lang w:val="en-US" w:eastAsia="zh-CN"/>
        </w:rPr>
      </w:pPr>
      <w:r>
        <w:rPr>
          <w:rFonts w:hint="eastAsia"/>
          <w:b/>
          <w:bCs/>
          <w:color w:val="000000"/>
          <w:sz w:val="32"/>
          <w:lang w:val="en-US" w:eastAsia="zh-CN"/>
        </w:rPr>
        <w:t xml:space="preserve">扬州市公共资源交易中心仪征分中心</w:t>
      </w:r>
      <w:r/>
    </w:p>
    <w:p>
      <w:pPr>
        <w:pStyle w:val="1328"/>
        <w:ind w:firstLine="0"/>
        <w:jc w:val="center"/>
        <w:rPr>
          <w:rFonts w:hint="eastAsia"/>
          <w:b/>
          <w:bCs/>
          <w:color w:val="000000"/>
          <w:sz w:val="32"/>
        </w:rPr>
      </w:pPr>
      <w:r>
        <w:rPr>
          <w:rFonts w:hint="eastAsia"/>
          <w:b/>
          <w:bCs/>
          <w:color w:val="000000"/>
          <w:sz w:val="32"/>
          <w:u w:val="single"/>
          <w:lang w:val="en-US" w:eastAsia="zh-CN"/>
        </w:rPr>
        <w:t xml:space="preserve">2025</w:t>
      </w:r>
      <w:r>
        <w:rPr>
          <w:rFonts w:hint="eastAsia"/>
          <w:b/>
          <w:bCs/>
          <w:color w:val="000000"/>
          <w:sz w:val="32"/>
        </w:rPr>
        <w:t xml:space="preserve">年</w:t>
      </w:r>
      <w:r>
        <w:rPr>
          <w:rFonts w:hint="eastAsia"/>
          <w:b/>
          <w:bCs/>
          <w:color w:val="000000"/>
          <w:sz w:val="32"/>
          <w:u w:val="single"/>
          <w:lang w:val="en-US" w:eastAsia="zh-CN"/>
        </w:rPr>
        <w:t xml:space="preserve"> 12</w:t>
      </w:r>
      <w:r>
        <w:rPr>
          <w:rFonts w:hint="eastAsia"/>
          <w:b/>
          <w:bCs/>
          <w:color w:val="000000"/>
          <w:sz w:val="32"/>
        </w:rPr>
        <w:t xml:space="preserve">月</w:t>
      </w:r>
      <w:r/>
    </w:p>
    <w:p>
      <w:pPr>
        <w:pStyle w:val="1328"/>
        <w:ind w:firstLine="0"/>
        <w:rPr>
          <w:rFonts w:hint="eastAsia"/>
          <w:color w:val="000000"/>
        </w:rPr>
      </w:pPr>
      <w:r>
        <w:rPr>
          <w:rFonts w:hint="eastAsia"/>
          <w:color w:val="000000"/>
        </w:rPr>
        <w:t xml:space="preserve">                        </w:t>
      </w:r>
      <w:r/>
    </w:p>
    <w:p>
      <w:pPr>
        <w:jc w:val="center"/>
        <w:spacing w:line="480" w:lineRule="auto"/>
        <w:rPr>
          <w:rFonts w:hint="eastAsia" w:ascii="黑体" w:hAnsi="Arial" w:eastAsia="黑体"/>
          <w:b/>
          <w:color w:val="000000"/>
          <w:sz w:val="44"/>
        </w:rPr>
        <w:outlineLvl w:val="0"/>
      </w:pPr>
      <w:r/>
      <w:bookmarkStart w:id="0" w:name="_Toc120614210"/>
      <w:r/>
      <w:bookmarkStart w:id="1" w:name="_Toc479757206"/>
      <w:r/>
      <w:bookmarkStart w:id="2" w:name="_Toc523127445"/>
      <w:r/>
      <w:bookmarkStart w:id="3" w:name="_Toc16938516"/>
      <w:r/>
      <w:bookmarkStart w:id="4" w:name="_Toc20823272"/>
      <w:r/>
      <w:bookmarkStart w:id="5" w:name="_Toc513029200"/>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4"/>
        </w:numPr>
        <w:spacing w:line="480" w:lineRule="auto"/>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w:t>
      </w:r>
      <w:r>
        <w:rPr>
          <w:rFonts w:hint="eastAsia" w:ascii="黑体" w:hAnsi="Showcard Gothic" w:eastAsia="黑体"/>
          <w:color w:val="000000"/>
          <w:sz w:val="36"/>
        </w:rPr>
        <w:t xml:space="preserve"> </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7</w:t>
      </w:r>
      <w:r>
        <w:rPr>
          <w:rFonts w:hint="eastAsia" w:ascii="黑体" w:hAnsi="Showcard Gothic" w:eastAsia="黑体"/>
          <w:color w:val="000000"/>
          <w:sz w:val="36"/>
        </w:rPr>
        <w:t xml:space="preserve">  </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16</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19</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31</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33</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1243"/>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w:t>
      </w:r>
      <w:r>
        <w:rPr>
          <w:rFonts w:hint="eastAsia" w:ascii="宋体" w:hAnsi="宋体"/>
          <w:color w:val="000000" w:themeColor="text1"/>
          <w:sz w:val="24"/>
          <w:szCs w:val="24"/>
        </w:rPr>
        <w:t xml:space="preserve">仪征市数据局</w:t>
      </w:r>
      <w:r>
        <w:rPr>
          <w:rFonts w:hint="eastAsia" w:ascii="宋体" w:hAnsi="宋体"/>
          <w:color w:val="000000"/>
          <w:sz w:val="24"/>
          <w:szCs w:val="24"/>
          <w:lang w:eastAsia="zh-CN"/>
        </w:rPr>
        <w:t xml:space="preserve">]</w:t>
      </w:r>
      <w:r>
        <w:rPr>
          <w:rFonts w:hint="eastAsia" w:ascii="宋体" w:hAnsi="宋体"/>
          <w:color w:val="000000"/>
          <w:sz w:val="24"/>
          <w:szCs w:val="24"/>
        </w:rPr>
        <w:t xml:space="preserve">的委托，</w:t>
      </w:r>
      <w:r>
        <w:rPr>
          <w:rFonts w:hint="eastAsia" w:ascii="宋体" w:hAnsi="宋体"/>
          <w:color w:val="000000"/>
          <w:sz w:val="24"/>
          <w:szCs w:val="24"/>
          <w:lang w:val="en-US" w:eastAsia="zh-CN"/>
        </w:rPr>
        <w:t xml:space="preserve">扬州市公共资源交易中心仪征分中心</w:t>
      </w:r>
      <w:r>
        <w:rPr>
          <w:rFonts w:hint="eastAsia" w:ascii="宋体" w:hAnsi="宋体"/>
          <w:color w:val="000000"/>
          <w:sz w:val="24"/>
          <w:szCs w:val="24"/>
        </w:rPr>
        <w:t xml:space="preserve">就[</w:t>
      </w:r>
      <w:r>
        <w:rPr>
          <w:rFonts w:hint="eastAsia" w:ascii="宋体" w:hAnsi="宋体"/>
          <w:color w:val="000000" w:themeColor="text1"/>
          <w:sz w:val="24"/>
          <w:szCs w:val="24"/>
        </w:rPr>
        <w:t xml:space="preserve">仪征市数据局</w:t>
      </w:r>
      <w:r>
        <w:rPr>
          <w:rFonts w:hint="eastAsia" w:ascii="宋体" w:hAnsi="宋体"/>
          <w:color w:val="000000" w:themeColor="text1"/>
          <w:sz w:val="24"/>
        </w:rPr>
        <w:t xml:space="preserve">新一代电子政务外网建设运行技术服务项目</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JSZC-321081-JZCG-G2025-0026</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（仪征市数据局新一代电子政务外网建设运行技术服务项目）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扬州市政府采购网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none"/>
        </w:rPr>
        <w:t xml:space="preserve">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lang w:val="en-US" w:eastAsia="zh-CN"/>
        </w:rPr>
        <w:t xml:space="preserve">2025</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12</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25</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1246"/>
        <w:ind w:firstLine="498"/>
        <w:spacing w:before="145" w:after="145" w:line="400" w:lineRule="exact"/>
        <w:rPr>
          <w:color w:val="000000"/>
        </w:rPr>
      </w:pPr>
      <w:r/>
      <w:bookmarkStart w:id="6" w:name="_Toc28359079"/>
      <w:r/>
      <w:bookmarkStart w:id="7" w:name="_Toc28359002"/>
      <w:r/>
      <w:bookmarkStart w:id="8" w:name="_Toc35393621"/>
      <w:r/>
      <w:bookmarkStart w:id="9" w:name="_Toc38985263"/>
      <w:r/>
      <w:bookmarkStart w:id="10" w:name="_Toc35393790"/>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spacing w:line="400" w:lineRule="exact"/>
        <w:rPr>
          <w:rFonts w:hint="eastAsia" w:ascii="宋体" w:hAnsi="宋体"/>
          <w:color w:val="000000"/>
          <w:sz w:val="24"/>
          <w:szCs w:val="24"/>
          <w:u w:val="none"/>
          <w:lang w:eastAsia="zh-CN"/>
        </w:rPr>
      </w:pPr>
      <w:r>
        <w:rPr>
          <w:rFonts w:hint="eastAsia" w:ascii="宋体" w:hAnsi="宋体"/>
          <w:color w:val="000000"/>
          <w:sz w:val="24"/>
          <w:szCs w:val="24"/>
        </w:rPr>
        <w:t xml:space="preserve">1.项目编号：</w:t>
      </w:r>
      <w:r>
        <w:rPr>
          <w:rFonts w:hint="eastAsia" w:ascii="宋体" w:hAnsi="宋体"/>
          <w:color w:val="000000"/>
          <w:sz w:val="24"/>
          <w:szCs w:val="24"/>
          <w:lang w:val="en-US" w:eastAsia="zh-CN"/>
        </w:rPr>
        <w:t xml:space="preserve">JSZC-321081-JZCG-G2025-0026</w:t>
      </w:r>
      <w:r/>
    </w:p>
    <w:p>
      <w:pPr>
        <w:ind w:firstLine="480"/>
        <w:spacing w:line="400" w:lineRule="exact"/>
        <w:rPr>
          <w:rFonts w:hint="eastAsia" w:ascii="宋体" w:hAnsi="宋体"/>
          <w:color w:val="000000"/>
          <w:sz w:val="24"/>
          <w:szCs w:val="24"/>
          <w:u w:val="none"/>
          <w:lang w:eastAsia="zh-CN"/>
        </w:rPr>
      </w:pPr>
      <w:r>
        <w:rPr>
          <w:rFonts w:hint="eastAsia" w:ascii="宋体" w:hAnsi="宋体"/>
          <w:color w:val="000000"/>
          <w:sz w:val="24"/>
          <w:szCs w:val="24"/>
        </w:rPr>
        <w:t xml:space="preserve">2.项目名称：</w:t>
      </w:r>
      <w:bookmarkEnd w:id="11"/>
      <w:r>
        <w:rPr>
          <w:rFonts w:hint="eastAsia" w:ascii="宋体" w:hAnsi="宋体"/>
          <w:color w:val="000000"/>
          <w:sz w:val="24"/>
          <w:szCs w:val="24"/>
          <w:u w:val="none"/>
          <w:lang w:eastAsia="zh-CN"/>
        </w:rPr>
        <w:t xml:space="preserve">仪征市数据局新一代电子政务外网建设运行技术服务项目</w:t>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3.预算金额</w:t>
      </w:r>
      <w:r>
        <w:rPr>
          <w:rFonts w:hint="eastAsia" w:ascii="宋体" w:hAnsi="宋体"/>
          <w:color w:val="000000"/>
          <w:sz w:val="24"/>
          <w:szCs w:val="24"/>
          <w:lang w:eastAsia="zh-CN"/>
        </w:rPr>
        <w:t xml:space="preserve">：</w:t>
      </w:r>
      <w:r>
        <w:rPr>
          <w:rFonts w:ascii="宋体" w:hAnsi="宋体"/>
          <w:color w:val="000000"/>
          <w:sz w:val="24"/>
          <w:szCs w:val="24"/>
        </w:rPr>
        <w:t xml:space="preserve">481.5</w:t>
      </w:r>
      <w:r>
        <w:rPr>
          <w:rFonts w:hint="eastAsia" w:ascii="宋体" w:hAnsi="宋体"/>
          <w:color w:val="000000"/>
          <w:sz w:val="24"/>
          <w:szCs w:val="24"/>
        </w:rPr>
        <w:t xml:space="preserve">万元</w:t>
      </w:r>
      <w:r/>
    </w:p>
    <w:tbl>
      <w:tblPr>
        <w:tblStyle w:val="106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107"/>
      </w:tblGrid>
      <w:tr>
        <w:trPr/>
        <w:tc>
          <w:tcPr>
            <w:tcW w:w="131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highlight w:val="none"/>
              </w:rPr>
              <w:t xml:space="preserve">采购包号</w:t>
            </w:r>
            <w:r/>
          </w:p>
        </w:tc>
        <w:tc>
          <w:tcPr>
            <w:tcW w:w="310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highlight w:val="none"/>
              </w:rPr>
              <w:t xml:space="preserve">预算</w:t>
            </w:r>
            <w:r>
              <w:rPr>
                <w:rFonts w:ascii="宋体" w:hAnsi="宋体"/>
                <w:color w:val="000000"/>
                <w:sz w:val="24"/>
                <w:szCs w:val="24"/>
                <w:highlight w:val="none"/>
              </w:rPr>
              <w:t xml:space="preserve">金额</w:t>
            </w:r>
            <w:r>
              <w:rPr>
                <w:rFonts w:hint="eastAsia" w:ascii="宋体" w:hAnsi="宋体"/>
                <w:color w:val="000000"/>
                <w:sz w:val="24"/>
                <w:szCs w:val="24"/>
                <w:highlight w:val="none"/>
              </w:rPr>
              <w:t xml:space="preserve">（人民币</w:t>
            </w:r>
            <w:r>
              <w:rPr>
                <w:rFonts w:ascii="宋体" w:hAnsi="宋体"/>
                <w:color w:val="000000"/>
                <w:sz w:val="24"/>
                <w:szCs w:val="24"/>
                <w:highlight w:val="none"/>
              </w:rPr>
              <w:t xml:space="preserve">：万元</w:t>
            </w:r>
            <w:r>
              <w:rPr>
                <w:rFonts w:hint="eastAsia" w:ascii="宋体" w:hAnsi="宋体"/>
                <w:color w:val="000000"/>
                <w:sz w:val="24"/>
                <w:szCs w:val="24"/>
                <w:highlight w:val="none"/>
              </w:rPr>
              <w:t xml:space="preserve">）</w:t>
            </w:r>
            <w:r/>
          </w:p>
        </w:tc>
      </w:tr>
      <w:tr>
        <w:trPr/>
        <w:tc>
          <w:tcPr>
            <w:tcW w:w="1315"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highlight w:val="none"/>
              </w:rPr>
              <w:t xml:space="preserve">1</w:t>
            </w:r>
            <w:r/>
          </w:p>
        </w:tc>
        <w:tc>
          <w:tcPr>
            <w:tcW w:w="3107" w:type="dxa"/>
            <w:vAlign w:val="top"/>
            <w:textDirection w:val="lrTb"/>
            <w:noWrap w:val="false"/>
          </w:tcPr>
          <w:p>
            <w:pPr>
              <w:jc w:val="center"/>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highlight w:val="none"/>
                <w:lang w:val="en-US" w:eastAsia="zh-CN"/>
              </w:rPr>
              <w:t xml:space="preserve">289.25</w:t>
            </w:r>
            <w:r/>
          </w:p>
        </w:tc>
      </w:tr>
      <w:tr>
        <w:trPr/>
        <w:tc>
          <w:tcPr>
            <w:tcW w:w="1315" w:type="dxa"/>
            <w:vAlign w:val="top"/>
            <w:textDirection w:val="lrTb"/>
            <w:noWrap w:val="false"/>
          </w:tcPr>
          <w:p>
            <w:pPr>
              <w:jc w:val="center"/>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highlight w:val="none"/>
              </w:rPr>
              <w:t xml:space="preserve">2</w:t>
            </w:r>
            <w:r/>
          </w:p>
        </w:tc>
        <w:tc>
          <w:tcPr>
            <w:tcW w:w="3107" w:type="dxa"/>
            <w:vAlign w:val="top"/>
            <w:textDirection w:val="lrTb"/>
            <w:noWrap w:val="false"/>
          </w:tcPr>
          <w:p>
            <w:pPr>
              <w:jc w:val="center"/>
              <w:spacing w:line="400" w:lineRule="exact"/>
              <w:rPr>
                <w:rFonts w:hint="eastAsia" w:ascii="宋体" w:hAnsi="宋体"/>
                <w:color w:val="000000"/>
                <w:sz w:val="24"/>
                <w:szCs w:val="24"/>
                <w:lang w:val="en-US" w:eastAsia="zh-CN"/>
              </w:rPr>
            </w:pPr>
            <w:r>
              <w:rPr>
                <w:rFonts w:ascii="宋体" w:hAnsi="宋体" w:cs="宋体"/>
                <w:sz w:val="24"/>
                <w:szCs w:val="24"/>
              </w:rPr>
              <w:t xml:space="preserve">100.45</w:t>
            </w:r>
            <w:r/>
          </w:p>
        </w:tc>
      </w:tr>
      <w:tr>
        <w:trPr/>
        <w:tc>
          <w:tcPr>
            <w:tcW w:w="1315" w:type="dxa"/>
            <w:vAlign w:val="top"/>
            <w:textDirection w:val="lrTb"/>
            <w:noWrap w:val="false"/>
          </w:tcPr>
          <w:p>
            <w:pPr>
              <w:jc w:val="center"/>
              <w:spacing w:line="400" w:lineRule="exact"/>
              <w:rPr>
                <w:rFonts w:hint="eastAsia" w:ascii="宋体" w:hAnsi="宋体" w:eastAsia="宋体"/>
                <w:color w:val="000000"/>
                <w:sz w:val="24"/>
                <w:szCs w:val="24"/>
                <w:lang w:eastAsia="zh-CN"/>
              </w:rPr>
            </w:pPr>
            <w:r>
              <w:rPr>
                <w:rFonts w:hint="eastAsia" w:ascii="宋体" w:hAnsi="宋体"/>
                <w:color w:val="000000"/>
                <w:sz w:val="24"/>
                <w:szCs w:val="24"/>
                <w:highlight w:val="none"/>
              </w:rPr>
              <w:t xml:space="preserve">3</w:t>
            </w:r>
            <w:r/>
          </w:p>
        </w:tc>
        <w:tc>
          <w:tcPr>
            <w:tcW w:w="3107" w:type="dxa"/>
            <w:vAlign w:val="top"/>
            <w:textDirection w:val="lrTb"/>
            <w:noWrap w:val="false"/>
          </w:tcPr>
          <w:p>
            <w:pPr>
              <w:jc w:val="center"/>
              <w:spacing w:line="400" w:lineRule="exact"/>
              <w:rPr>
                <w:rFonts w:hint="eastAsia" w:ascii="宋体" w:hAnsi="宋体"/>
                <w:color w:val="000000"/>
                <w:sz w:val="24"/>
                <w:szCs w:val="24"/>
                <w:lang w:val="en-US" w:eastAsia="zh-CN"/>
              </w:rPr>
            </w:pPr>
            <w:r>
              <w:rPr>
                <w:rFonts w:ascii="宋体" w:hAnsi="宋体" w:cs="宋体"/>
                <w:sz w:val="24"/>
                <w:szCs w:val="24"/>
              </w:rPr>
              <w:t xml:space="preserve">62.4</w:t>
            </w:r>
            <w:r/>
          </w:p>
        </w:tc>
      </w:tr>
      <w:tr>
        <w:trPr/>
        <w:tc>
          <w:tcPr>
            <w:tcW w:w="1315" w:type="dxa"/>
            <w:vAlign w:val="top"/>
            <w:textDirection w:val="lrTb"/>
            <w:noWrap w:val="false"/>
          </w:tcPr>
          <w:p>
            <w:pPr>
              <w:jc w:val="center"/>
              <w:spacing w:line="40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w:t>
            </w:r>
            <w:r/>
          </w:p>
        </w:tc>
        <w:tc>
          <w:tcPr>
            <w:tcW w:w="3107" w:type="dxa"/>
            <w:vAlign w:val="top"/>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9.4</w:t>
            </w:r>
            <w:r/>
          </w:p>
        </w:tc>
      </w:tr>
    </w:tbl>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highlight w:val="none"/>
        </w:rPr>
        <w:t xml:space="preserve">4.最高</w:t>
      </w:r>
      <w:r>
        <w:rPr>
          <w:rFonts w:ascii="宋体" w:hAnsi="宋体"/>
          <w:color w:val="000000"/>
          <w:sz w:val="24"/>
          <w:szCs w:val="24"/>
          <w:highlight w:val="none"/>
        </w:rPr>
        <w:t xml:space="preserve">限价</w:t>
      </w:r>
      <w:r>
        <w:rPr>
          <w:rFonts w:hint="eastAsia" w:ascii="宋体" w:hAnsi="宋体"/>
          <w:color w:val="000000"/>
          <w:sz w:val="24"/>
          <w:szCs w:val="24"/>
          <w:highlight w:val="none"/>
        </w:rPr>
        <w:t xml:space="preserve">：</w:t>
      </w:r>
      <w:r>
        <w:rPr>
          <w:rFonts w:ascii="宋体" w:hAnsi="宋体"/>
          <w:color w:val="000000"/>
          <w:sz w:val="24"/>
          <w:szCs w:val="24"/>
        </w:rPr>
        <w:t xml:space="preserve">481.5</w:t>
      </w:r>
      <w:r>
        <w:rPr>
          <w:rFonts w:hint="eastAsia" w:ascii="宋体" w:hAnsi="宋体"/>
          <w:color w:val="000000"/>
          <w:sz w:val="24"/>
          <w:szCs w:val="24"/>
        </w:rPr>
        <w:t xml:space="preserve">万元</w:t>
      </w:r>
      <w:r/>
    </w:p>
    <w:tbl>
      <w:tblPr>
        <w:tblStyle w:val="106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3375"/>
        <w:gridCol w:w="3279"/>
      </w:tblGrid>
      <w:tr>
        <w:trPr/>
        <w:tc>
          <w:tcPr>
            <w:tcW w:w="1336" w:type="dxa"/>
            <w:vAlign w:val="top"/>
            <w:textDirection w:val="lrTb"/>
            <w:noWrap w:val="false"/>
          </w:tcPr>
          <w:p>
            <w:pPr>
              <w:jc w:val="both"/>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37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27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375"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w:t>
            </w:r>
            <w:r/>
          </w:p>
        </w:tc>
        <w:tc>
          <w:tcPr>
            <w:tcW w:w="3279" w:type="dxa"/>
            <w:vAlign w:val="top"/>
            <w:textDirection w:val="lrTb"/>
            <w:noWrap w:val="false"/>
          </w:tcPr>
          <w:p>
            <w:pPr>
              <w:jc w:val="center"/>
              <w:spacing w:line="400" w:lineRule="exact"/>
              <w:rPr>
                <w:rFonts w:ascii="宋体" w:hAnsi="宋体" w:eastAsia="宋体"/>
                <w:color w:val="000000"/>
                <w:sz w:val="24"/>
                <w:szCs w:val="24"/>
                <w:lang w:val="en-US" w:eastAsia="zh-CN"/>
              </w:rPr>
            </w:pPr>
            <w:r>
              <w:rPr>
                <w:rFonts w:hint="eastAsia" w:ascii="宋体" w:hAnsi="宋体"/>
                <w:color w:val="000000"/>
                <w:sz w:val="24"/>
                <w:szCs w:val="24"/>
                <w:highlight w:val="none"/>
                <w:lang w:val="en-US" w:eastAsia="zh-CN"/>
              </w:rPr>
              <w:t xml:space="preserve">289.25</w:t>
            </w:r>
            <w:r/>
          </w:p>
        </w:tc>
      </w:tr>
      <w:tr>
        <w:trPr/>
        <w:tc>
          <w:tcPr>
            <w:tcW w:w="1336" w:type="dxa"/>
            <w:vAlign w:val="top"/>
            <w:textDirection w:val="lrTb"/>
            <w:noWrap w:val="false"/>
          </w:tcPr>
          <w:p>
            <w:pPr>
              <w:jc w:val="center"/>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p>
        </w:tc>
        <w:tc>
          <w:tcPr>
            <w:tcW w:w="337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w:t>
            </w:r>
            <w:r/>
          </w:p>
        </w:tc>
        <w:tc>
          <w:tcPr>
            <w:tcW w:w="3279" w:type="dxa"/>
            <w:vAlign w:val="top"/>
            <w:textDirection w:val="lrTb"/>
            <w:noWrap w:val="false"/>
          </w:tcPr>
          <w:p>
            <w:pPr>
              <w:jc w:val="center"/>
              <w:spacing w:line="400" w:lineRule="exact"/>
              <w:rPr>
                <w:rFonts w:hint="eastAsia" w:ascii="宋体" w:hAnsi="宋体"/>
                <w:color w:val="000000"/>
                <w:sz w:val="24"/>
                <w:szCs w:val="24"/>
                <w:lang w:val="en-US" w:eastAsia="zh-CN"/>
              </w:rPr>
            </w:pPr>
            <w:r>
              <w:rPr>
                <w:rFonts w:ascii="宋体" w:hAnsi="宋体" w:cs="宋体"/>
                <w:sz w:val="24"/>
                <w:szCs w:val="24"/>
              </w:rPr>
              <w:t xml:space="preserve">100.45</w:t>
            </w:r>
            <w:r/>
          </w:p>
        </w:tc>
      </w:tr>
      <w:tr>
        <w:trPr/>
        <w:tc>
          <w:tcPr>
            <w:tcW w:w="1336" w:type="dxa"/>
            <w:vAlign w:val="top"/>
            <w:textDirection w:val="lrTb"/>
            <w:noWrap w:val="false"/>
          </w:tcPr>
          <w:p>
            <w:pPr>
              <w:jc w:val="center"/>
              <w:spacing w:line="400" w:lineRule="exac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3</w:t>
            </w:r>
            <w:r/>
          </w:p>
        </w:tc>
        <w:tc>
          <w:tcPr>
            <w:tcW w:w="3375" w:type="dxa"/>
            <w:vAlign w:val="top"/>
            <w:textDirection w:val="lrTb"/>
            <w:noWrap w:val="false"/>
          </w:tcPr>
          <w:p>
            <w:pPr>
              <w:jc w:val="center"/>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是</w:t>
            </w:r>
            <w:r/>
          </w:p>
        </w:tc>
        <w:tc>
          <w:tcPr>
            <w:tcW w:w="3279" w:type="dxa"/>
            <w:vAlign w:val="top"/>
            <w:textDirection w:val="lrTb"/>
            <w:noWrap w:val="false"/>
          </w:tcPr>
          <w:p>
            <w:pPr>
              <w:jc w:val="center"/>
              <w:spacing w:line="400" w:lineRule="exact"/>
              <w:rPr>
                <w:rFonts w:hint="eastAsia" w:ascii="宋体" w:hAnsi="宋体"/>
                <w:color w:val="000000"/>
                <w:sz w:val="24"/>
                <w:szCs w:val="24"/>
                <w:lang w:val="en-US" w:eastAsia="zh-CN"/>
              </w:rPr>
            </w:pPr>
            <w:r>
              <w:rPr>
                <w:rFonts w:ascii="宋体" w:hAnsi="宋体" w:cs="宋体"/>
                <w:sz w:val="24"/>
                <w:szCs w:val="24"/>
              </w:rPr>
              <w:t xml:space="preserve">62.4</w:t>
            </w:r>
            <w:r/>
          </w:p>
        </w:tc>
      </w:tr>
      <w:tr>
        <w:trPr/>
        <w:tc>
          <w:tcPr>
            <w:tcW w:w="1336" w:type="dxa"/>
            <w:vAlign w:val="top"/>
            <w:textDirection w:val="lrTb"/>
            <w:noWrap w:val="false"/>
          </w:tcPr>
          <w:p>
            <w:pPr>
              <w:jc w:val="center"/>
              <w:spacing w:line="400" w:lineRule="exact"/>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4</w:t>
            </w:r>
            <w:r/>
          </w:p>
        </w:tc>
        <w:tc>
          <w:tcPr>
            <w:tcW w:w="3375" w:type="dxa"/>
            <w:vAlign w:val="top"/>
            <w:textDirection w:val="lrTb"/>
            <w:noWrap w:val="false"/>
          </w:tcPr>
          <w:p>
            <w:pPr>
              <w:jc w:val="center"/>
              <w:spacing w:line="400" w:lineRule="exact"/>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是</w:t>
            </w:r>
            <w:r/>
          </w:p>
        </w:tc>
        <w:tc>
          <w:tcPr>
            <w:tcW w:w="3279" w:type="dxa"/>
            <w:vAlign w:val="top"/>
            <w:textDirection w:val="lrTb"/>
            <w:noWrap w:val="false"/>
          </w:tcPr>
          <w:p>
            <w:pPr>
              <w:jc w:val="center"/>
              <w:spacing w:line="400" w:lineRule="exact"/>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29.4</w:t>
            </w:r>
            <w:r/>
          </w:p>
        </w:tc>
      </w:tr>
    </w:tbl>
    <w:p>
      <w:pPr>
        <w:ind w:firstLine="480"/>
        <w:spacing w:line="400" w:lineRule="exact"/>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采购需求（简介）：1、根据江苏省新一代电子政务外网建设工作要求，结合扬州市电子政务外网现状和需求，以政府数字化转型需求为牵引，坚持问题导向、任务导向、目标导向，以IPv6+、5G、人工智能、大数据、确定性网络（CENI）等新技术为驱动，统筹建设和集约运营“高速泛在、智能敏捷、安全可控、协同高效”的新一代电子政务外网，全面提升网络承载、业务支撑、安全保障和运行管理等能力，畅通数字政府基础设施大动脉。</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2、本项目根据建设内容将分为</w:t>
      </w:r>
      <w:r>
        <w:rPr>
          <w:rFonts w:hint="eastAsia" w:ascii="宋体" w:hAnsi="宋体"/>
          <w:color w:val="000000"/>
          <w:sz w:val="24"/>
          <w:szCs w:val="24"/>
          <w:lang w:val="en-US" w:eastAsia="zh-CN"/>
        </w:rPr>
        <w:t xml:space="preserve">四</w:t>
      </w:r>
      <w:r>
        <w:rPr>
          <w:rFonts w:hint="eastAsia" w:ascii="宋体" w:hAnsi="宋体"/>
          <w:color w:val="000000"/>
          <w:sz w:val="24"/>
          <w:szCs w:val="24"/>
        </w:rPr>
        <w:t xml:space="preserve">个分包采购，包1：互联网出口带宽和数据转发服务；包2：互联网出口备用带宽和数据转发服务；包3：横向部门备用线路和数据解包引流分发服务；包4：横向</w:t>
      </w:r>
      <w:r>
        <w:rPr>
          <w:rFonts w:hint="eastAsia" w:ascii="宋体" w:hAnsi="宋体"/>
          <w:color w:val="000000" w:themeColor="text1"/>
          <w:sz w:val="24"/>
          <w:szCs w:val="24"/>
        </w:rPr>
        <w:t xml:space="preserve">部门备用线路和安全流量监测服务。项目包1至包4可兼投，其中包1、包2不可兼中，包3、包4不可兼中，开标评标定标顺序为包1至包4。</w:t>
      </w:r>
      <w:r/>
    </w:p>
    <w:p>
      <w:pPr>
        <w:numPr>
          <w:ilvl w:val="0"/>
          <w:numId w:val="0"/>
        </w:numPr>
        <w:ind w:firstLine="480"/>
        <w:spacing w:line="400" w:lineRule="exact"/>
        <w:rPr>
          <w:rFonts w:hint="eastAsia" w:ascii="宋体" w:hAnsi="宋体" w:eastAsia="宋体"/>
          <w:color w:val="000000"/>
          <w:sz w:val="24"/>
          <w:szCs w:val="24"/>
          <w:u w:val="single"/>
          <w:lang w:eastAsia="zh-CN"/>
        </w:rPr>
      </w:pPr>
      <w:r>
        <w:rPr>
          <w:rFonts w:hint="eastAsia" w:ascii="宋体" w:hAnsi="宋体"/>
          <w:color w:val="000000"/>
          <w:sz w:val="24"/>
          <w:szCs w:val="24"/>
        </w:rPr>
        <w:t xml:space="preserve">6.合同履行期限：</w:t>
      </w:r>
      <w:r>
        <w:rPr>
          <w:rFonts w:hint="eastAsia" w:ascii="宋体" w:hAnsi="宋体"/>
          <w:color w:val="000000" w:themeColor="text1"/>
          <w:sz w:val="24"/>
          <w:szCs w:val="24"/>
        </w:rPr>
        <w:t xml:space="preserve">包1</w:t>
      </w:r>
      <w:r>
        <w:rPr>
          <w:rFonts w:ascii="宋体" w:hAnsi="宋体"/>
          <w:color w:val="000000" w:themeColor="text1"/>
          <w:sz w:val="24"/>
          <w:szCs w:val="24"/>
        </w:rPr>
        <w:t xml:space="preserve">-4自合同签订之日起</w:t>
      </w:r>
      <w:r>
        <w:rPr>
          <w:rFonts w:hint="eastAsia" w:ascii="宋体" w:hAnsi="宋体"/>
          <w:color w:val="000000" w:themeColor="text1"/>
          <w:sz w:val="24"/>
          <w:szCs w:val="24"/>
        </w:rPr>
        <w:t xml:space="preserve">3年</w:t>
      </w:r>
      <w:r>
        <w:rPr>
          <w:rFonts w:hint="eastAsia" w:ascii="宋体" w:hAnsi="宋体"/>
          <w:sz w:val="24"/>
          <w:szCs w:val="24"/>
        </w:rPr>
        <w:t xml:space="preserve">。</w:t>
      </w:r>
      <w:r/>
    </w:p>
    <w:p>
      <w:pPr>
        <w:pStyle w:val="1246"/>
        <w:ind w:firstLine="498"/>
        <w:spacing w:before="145" w:after="145" w:line="400" w:lineRule="exact"/>
        <w:rPr>
          <w:color w:val="000000"/>
        </w:rPr>
      </w:pPr>
      <w:r/>
      <w:bookmarkStart w:id="12" w:name="_Toc38985264"/>
      <w:r/>
      <w:bookmarkStart w:id="13" w:name="_Toc35393791"/>
      <w:r/>
      <w:bookmarkStart w:id="14" w:name="_Toc28359003"/>
      <w:r/>
      <w:bookmarkStart w:id="15" w:name="_Toc35393622"/>
      <w:r/>
      <w:bookmarkStart w:id="16" w:name="_Toc28359080"/>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color w:val="000000"/>
          <w:sz w:val="24"/>
          <w:szCs w:val="24"/>
        </w:rPr>
      </w:pPr>
      <w:r/>
      <w:bookmarkStart w:id="17" w:name="_Toc35393792"/>
      <w:r/>
      <w:bookmarkStart w:id="18" w:name="_Toc28359004"/>
      <w:r/>
      <w:bookmarkStart w:id="19" w:name="_Toc38985265"/>
      <w:r/>
      <w:bookmarkStart w:id="20" w:name="_Toc28359081"/>
      <w:r/>
      <w:bookmarkStart w:id="21" w:name="_Toc35393623"/>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上一</w:t>
      </w:r>
      <w:r>
        <w:rPr>
          <w:rFonts w:hint="eastAsia" w:ascii="宋体" w:hAnsi="宋体"/>
          <w:color w:val="000000"/>
          <w:sz w:val="24"/>
          <w:szCs w:val="24"/>
        </w:rPr>
        <w:t xml:space="preserve">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w:t>
      </w:r>
      <w:r>
        <w:rPr>
          <w:rFonts w:hint="eastAsia" w:ascii="宋体" w:hAnsi="宋体"/>
          <w:color w:val="000000"/>
          <w:sz w:val="24"/>
          <w:szCs w:val="24"/>
          <w:lang w:val="en-US" w:eastAsia="zh-CN"/>
        </w:rPr>
        <w:t xml:space="preserve">任意</w:t>
      </w:r>
      <w:r>
        <w:rPr>
          <w:rFonts w:hint="eastAsia" w:ascii="宋体" w:hAnsi="宋体"/>
          <w:color w:val="000000"/>
          <w:sz w:val="24"/>
          <w:szCs w:val="24"/>
        </w:rPr>
        <w:t xml:space="preserve">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 供应商信用承诺函。</w:t>
      </w:r>
      <w:r/>
    </w:p>
    <w:p>
      <w:pPr>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w:t>
      </w:r>
      <w:r>
        <w:rPr>
          <w:rFonts w:hint="eastAsia" w:ascii="宋体" w:hAnsi="宋体"/>
          <w:color w:val="000000"/>
          <w:sz w:val="24"/>
          <w:szCs w:val="24"/>
          <w:lang w:eastAsia="zh-CN"/>
        </w:rPr>
        <w:t xml:space="preserve">、“中国政府采购网"(www.ccgp.gov.cn)</w:t>
      </w:r>
      <w:r>
        <w:rPr>
          <w:rFonts w:hint="eastAsia" w:ascii="宋体" w:hAnsi="宋体"/>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3.落实政府采购政策需满足的资格要求：无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1069"/>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65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包</w:t>
            </w:r>
            <w:r/>
          </w:p>
        </w:tc>
        <w:tc>
          <w:tcPr>
            <w:tcW w:w="3653"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否</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spacing w:line="40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numPr>
          <w:ilvl w:val="0"/>
          <w:numId w:val="0"/>
        </w:numPr>
        <w:ind w:left="480"/>
        <w:spacing w:line="40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5.进口产品投标</w:t>
      </w:r>
      <w:r/>
    </w:p>
    <w:tbl>
      <w:tblPr>
        <w:tblStyle w:val="1069"/>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采购包号</w:t>
            </w:r>
            <w:r/>
          </w:p>
        </w:tc>
        <w:tc>
          <w:tcPr>
            <w:tcW w:w="577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vAlign w:val="top"/>
            <w:textDirection w:val="lrTb"/>
            <w:noWrap w:val="false"/>
          </w:tcPr>
          <w:p>
            <w:pPr>
              <w:jc w:val="center"/>
              <w:spacing w:line="400" w:lineRule="exact"/>
              <w:rPr>
                <w:rFonts w:hint="default" w:ascii="宋体" w:hAnsi="宋体" w:eastAsia="宋体"/>
                <w:sz w:val="24"/>
                <w:szCs w:val="24"/>
                <w:lang w:val="en-US" w:eastAsia="zh-CN"/>
              </w:rPr>
            </w:pPr>
            <w:r>
              <w:rPr>
                <w:rFonts w:hint="eastAsia" w:ascii="宋体" w:hAnsi="宋体"/>
                <w:sz w:val="24"/>
                <w:szCs w:val="24"/>
              </w:rPr>
              <w:t xml:space="preserve">1</w:t>
            </w:r>
            <w:r>
              <w:rPr>
                <w:rFonts w:hint="eastAsia" w:ascii="宋体" w:hAnsi="宋体"/>
                <w:sz w:val="24"/>
                <w:szCs w:val="24"/>
                <w:lang w:val="en-US" w:eastAsia="zh-CN"/>
              </w:rPr>
              <w:t xml:space="preserve">-4包</w:t>
            </w:r>
            <w:r/>
          </w:p>
        </w:tc>
        <w:tc>
          <w:tcPr>
            <w:tcW w:w="5775"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106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581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vAlign w:val="center"/>
            <w:textDirection w:val="lrTb"/>
            <w:noWrap w:val="false"/>
          </w:tcPr>
          <w:p>
            <w:pPr>
              <w:jc w:val="center"/>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-4包</w:t>
            </w:r>
            <w:r/>
          </w:p>
        </w:tc>
        <w:tc>
          <w:tcPr>
            <w:tcW w:w="5819" w:type="dxa"/>
            <w:vAlign w:val="top"/>
            <w:textDirection w:val="lrTb"/>
            <w:noWrap w:val="false"/>
          </w:tcPr>
          <w:p>
            <w:pPr>
              <w:jc w:val="left"/>
              <w:spacing w:line="400" w:lineRule="exact"/>
              <w:rPr>
                <w:rFonts w:ascii="宋体" w:hAnsi="宋体"/>
                <w:color w:val="000000"/>
                <w:sz w:val="24"/>
                <w:szCs w:val="24"/>
              </w:rPr>
            </w:pPr>
            <w:r>
              <w:rPr>
                <w:rFonts w:hint="eastAsia" w:ascii="宋体" w:hAnsi="宋体"/>
                <w:color w:val="000000" w:themeColor="text1"/>
                <w:sz w:val="24"/>
                <w:szCs w:val="24"/>
              </w:rPr>
              <w:t xml:space="preserve">本项目接受分公司投标。供应商或其总公司须具备《基础电信业务经营许可证》，总公司（法人）和分公司、子公司不得同时参与本项目投标，同一法人的不同分公司或同一总公司的不同子公司不得同时参与本项目投标。</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w:t>
      </w:r>
      <w:r>
        <w:rPr>
          <w:rFonts w:hint="eastAsia" w:ascii="宋体" w:hAnsi="宋体" w:cs="宋体"/>
          <w:color w:val="000000"/>
          <w:sz w:val="24"/>
          <w:szCs w:val="24"/>
          <w:lang w:eastAsia="zh-CN"/>
        </w:rPr>
        <w:t xml:space="preserve">、扬州市政府采购网</w:t>
      </w:r>
      <w:r>
        <w:rPr>
          <w:rFonts w:hint="eastAsia" w:ascii="宋体" w:hAnsi="宋体" w:cs="宋体"/>
          <w:color w:val="000000"/>
          <w:sz w:val="24"/>
          <w:szCs w:val="24"/>
        </w:rPr>
        <w:t xml:space="preserve">”自行免费下载招标文件。</w:t>
      </w:r>
      <w:bookmarkEnd w:id="17"/>
      <w:r/>
      <w:bookmarkEnd w:id="18"/>
      <w:r/>
      <w:bookmarkEnd w:id="19"/>
      <w:r/>
      <w:bookmarkEnd w:id="20"/>
      <w:r/>
      <w:bookmarkEnd w:id="21"/>
      <w:r/>
      <w:r/>
    </w:p>
    <w:p>
      <w:pPr>
        <w:pStyle w:val="1246"/>
        <w:ind w:firstLine="498"/>
        <w:spacing w:before="145" w:after="145" w:line="400" w:lineRule="exact"/>
        <w:rPr>
          <w:color w:val="000000"/>
        </w:rPr>
      </w:pPr>
      <w:r/>
      <w:bookmarkStart w:id="22" w:name="_Toc28359082"/>
      <w:r/>
      <w:bookmarkStart w:id="23" w:name="_Toc28359005"/>
      <w:r/>
      <w:bookmarkStart w:id="24" w:name="_Toc38985266"/>
      <w:r/>
      <w:bookmarkStart w:id="25" w:name="_Toc35393793"/>
      <w:r/>
      <w:bookmarkStart w:id="26" w:name="_Toc35393624"/>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u w:val="none"/>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2025</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12</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25</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35393625"/>
      <w:r/>
      <w:bookmarkStart w:id="28" w:name="_Toc35393794"/>
      <w:r/>
      <w:bookmarkStart w:id="29" w:name="_Toc38985267"/>
      <w:r/>
      <w:bookmarkStart w:id="30" w:name="_Toc28359007"/>
      <w:r/>
      <w:bookmarkStart w:id="31" w:name="_Toc28359084"/>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1246"/>
        <w:ind w:firstLine="498"/>
        <w:spacing w:before="145" w:after="145" w:line="400" w:lineRule="exact"/>
        <w:rPr>
          <w:color w:val="000000"/>
        </w:rPr>
      </w:pPr>
      <w:r/>
      <w:bookmarkStart w:id="32" w:name="_Toc35393626"/>
      <w:r/>
      <w:bookmarkStart w:id="33" w:name="_Toc38985268"/>
      <w:r/>
      <w:bookmarkStart w:id="34" w:name="_Toc35393795"/>
      <w:r>
        <w:rPr>
          <w:rFonts w:hint="eastAsia"/>
          <w:color w:val="000000"/>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1246"/>
        <w:ind w:firstLine="498"/>
        <w:spacing w:before="145" w:after="145" w:line="400" w:lineRule="exact"/>
        <w:rPr>
          <w:color w:val="000000"/>
        </w:rPr>
      </w:pPr>
      <w:r/>
      <w:bookmarkStart w:id="35" w:name="_Toc28359008"/>
      <w:r/>
      <w:bookmarkStart w:id="36" w:name="_Toc35393796"/>
      <w:r/>
      <w:bookmarkStart w:id="37" w:name="_Toc35393627"/>
      <w:r/>
      <w:bookmarkStart w:id="38" w:name="_Toc28359085"/>
      <w:r/>
      <w:bookmarkStart w:id="39" w:name="_Toc38985269"/>
      <w:r>
        <w:rPr>
          <w:rFonts w:hint="eastAsia"/>
          <w:color w:val="000000"/>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0" w:name="_Toc28359087"/>
      <w:r/>
      <w:bookmarkStart w:id="41" w:name="_Toc28359010"/>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仪征市数据局</w:t>
      </w:r>
      <w:r>
        <w:rPr>
          <w:rFonts w:hint="eastAsia" w:ascii="宋体" w:hAnsi="宋体"/>
          <w:color w:val="000000"/>
          <w:sz w:val="24"/>
          <w:szCs w:val="24"/>
          <w:u w:val="single"/>
          <w:lang w:val="en-US" w:eastAsia="zh-CN"/>
        </w:rPr>
        <w:t xml:space="preserve">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址：</w:t>
      </w:r>
      <w:r>
        <w:rPr>
          <w:rFonts w:hint="eastAsia" w:ascii="宋体" w:hAnsi="宋体"/>
          <w:color w:val="000000"/>
          <w:sz w:val="24"/>
          <w:szCs w:val="24"/>
          <w:u w:val="single"/>
          <w:lang w:val="en-US" w:eastAsia="zh-CN"/>
        </w:rPr>
        <w:t xml:space="preserve"> 仪征市西园北路39号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王小柱                  </w:t>
      </w:r>
      <w:r/>
    </w:p>
    <w:p>
      <w:pPr>
        <w:ind w:firstLine="789"/>
        <w:spacing w:line="400" w:lineRule="exact"/>
        <w:tabs>
          <w:tab w:val="left" w:pos="900" w:leader="none"/>
        </w:tabs>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bookmarkStart w:id="42" w:name="_Toc28359086"/>
      <w:r/>
      <w:bookmarkStart w:id="43" w:name="_Toc28359009"/>
      <w:r>
        <w:rPr>
          <w:rFonts w:hint="eastAsia" w:ascii="宋体" w:hAnsi="宋体"/>
          <w:color w:val="000000"/>
          <w:sz w:val="24"/>
          <w:szCs w:val="24"/>
          <w:u w:val="single"/>
          <w:lang w:val="en-US" w:eastAsia="zh-CN"/>
        </w:rPr>
        <w:t xml:space="preserve"> </w:t>
      </w:r>
      <w:bookmarkStart w:id="199" w:name="_GoBack"/>
      <w:r>
        <w:rPr>
          <w:rFonts w:hint="eastAsia" w:ascii="宋体" w:hAnsi="宋体"/>
          <w:color w:val="000000"/>
          <w:sz w:val="24"/>
          <w:szCs w:val="24"/>
          <w:u w:val="single"/>
          <w:lang w:val="en-US" w:eastAsia="zh-CN"/>
        </w:rPr>
        <w:t xml:space="preserve"> 13905256655 </w:t>
      </w:r>
      <w:bookmarkEnd w:id="199"/>
      <w:r>
        <w:rPr>
          <w:rFonts w:hint="eastAsia" w:ascii="宋体" w:hAnsi="宋体"/>
          <w:color w:val="000000"/>
          <w:sz w:val="24"/>
          <w:szCs w:val="24"/>
          <w:u w:val="single"/>
          <w:lang w:val="en-US" w:eastAsia="zh-CN"/>
        </w:rPr>
        <w:t xml:space="preserve">            </w:t>
      </w:r>
      <w:r/>
    </w:p>
    <w:p>
      <w:pPr>
        <w:ind w:left="1079" w:hanging="300"/>
        <w:jc w:val="left"/>
        <w:spacing w:line="400" w:lineRule="exact"/>
        <w:rPr>
          <w:rFonts w:hint="default" w:ascii="宋体" w:hAnsi="宋体" w:eastAsia="宋体"/>
          <w:color w:val="000000"/>
          <w:sz w:val="24"/>
          <w:szCs w:val="24"/>
          <w:lang w:val="en-US" w:eastAsia="zh-CN"/>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rPr>
        <w:t xml:space="preserve">扬州市公共资源交易中心</w:t>
      </w:r>
      <w:r>
        <w:rPr>
          <w:rFonts w:hint="eastAsia" w:ascii="宋体" w:hAnsi="宋体" w:cs="宋体"/>
          <w:color w:val="000000"/>
          <w:sz w:val="24"/>
          <w:szCs w:val="24"/>
          <w:lang w:val="en-US" w:eastAsia="zh-CN"/>
        </w:rPr>
        <w:t xml:space="preserve">仪征分中心</w:t>
      </w:r>
      <w:r/>
    </w:p>
    <w:p>
      <w:pPr>
        <w:ind w:firstLine="720"/>
        <w:spacing w:line="400" w:lineRule="exact"/>
        <w:rPr>
          <w:rFonts w:hint="eastAsia" w:ascii="宋体" w:hAnsi="宋体"/>
          <w:color w:val="000000"/>
          <w:sz w:val="24"/>
          <w:szCs w:val="24"/>
          <w:u w:val="single"/>
          <w:lang w:val="en-US" w:eastAsia="zh-CN"/>
        </w:rPr>
      </w:pPr>
      <w:r>
        <w:rPr>
          <w:rFonts w:hint="eastAsia" w:ascii="宋体" w:hAnsi="宋体"/>
          <w:color w:val="000000"/>
          <w:sz w:val="24"/>
          <w:szCs w:val="24"/>
        </w:rPr>
        <w:t xml:space="preserve">地　址：</w:t>
      </w:r>
      <w:r>
        <w:rPr>
          <w:rFonts w:hint="eastAsia" w:ascii="宋体" w:hAnsi="宋体"/>
          <w:color w:val="000000"/>
          <w:sz w:val="24"/>
          <w:szCs w:val="24"/>
          <w:u w:val="single"/>
          <w:lang w:val="en-US" w:eastAsia="zh-CN"/>
        </w:rPr>
        <w:t xml:space="preserve"> 仪征市西园北路39号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曹 瑜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 0514-80290190             </w:t>
      </w:r>
      <w:bookmarkEnd w:id="40"/>
      <w:r/>
      <w:bookmarkEnd w:id="41"/>
      <w:r/>
      <w:r/>
    </w:p>
    <w:p>
      <w:pPr>
        <w:pStyle w:val="1246"/>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hint="eastAsia" w:ascii="宋体" w:hAnsi="宋体" w:eastAsia="宋体" w:cs="宋体"/>
          <w:b/>
          <w:bCs w:val="0"/>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bCs w:val="0"/>
          <w:color w:val="000000"/>
          <w:sz w:val="24"/>
          <w:szCs w:val="24"/>
        </w:rPr>
        <w:t xml:space="preserve">具体办理指南和操作手册见链接：</w:t>
      </w:r>
      <w:r>
        <w:rPr>
          <w:rFonts w:hint="eastAsia" w:ascii="宋体" w:hAnsi="宋体" w:eastAsia="宋体" w:cs="宋体"/>
          <w:b/>
          <w:bCs w:val="0"/>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w:t>
      </w:r>
      <w:r>
        <w:rPr>
          <w:rFonts w:hint="eastAsia" w:ascii="宋体" w:hAnsi="宋体"/>
          <w:bCs/>
          <w:color w:val="000000"/>
          <w:sz w:val="24"/>
          <w:szCs w:val="24"/>
          <w:lang w:val="en-US" w:eastAsia="zh-CN"/>
        </w:rPr>
        <w:t xml:space="preserve">扬州市公共资源交易中心仪征分中心</w:t>
      </w:r>
      <w:r>
        <w:rPr>
          <w:rFonts w:hint="eastAsia" w:ascii="宋体" w:hAnsi="宋体"/>
          <w:bCs/>
          <w:color w:val="000000"/>
          <w:sz w:val="24"/>
          <w:szCs w:val="24"/>
        </w:rPr>
        <w:t xml:space="preserve">在“江苏政府采购网”</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扬州市政府采购网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发布的更正公告。</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pStyle w:val="1244"/>
        <w:ind w:firstLine="2426"/>
        <w:jc w:val="both"/>
        <w:keepLines/>
        <w:keepNext/>
        <w:pageBreakBefore w:val="0"/>
        <w:spacing w:line="240" w:lineRule="auto"/>
        <w:widowControl w:val="off"/>
        <w:rPr>
          <w:rFonts w:hint="eastAsia" w:ascii="黑体" w:eastAsia="黑体"/>
          <w:b w:val="0"/>
          <w:bCs w:val="0"/>
          <w:color w:val="000000"/>
        </w:rPr>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120614213"/>
      <w:r/>
      <w:bookmarkStart w:id="48" w:name="_Toc20823274"/>
      <w:r>
        <w:rPr>
          <w:rFonts w:hint="eastAsia" w:ascii="黑体" w:eastAsia="黑体"/>
          <w:color w:val="000000"/>
        </w:rPr>
        <w:t xml:space="preserve">投标人须知</w:t>
      </w:r>
      <w:bookmarkEnd w:id="45"/>
      <w:r/>
      <w:bookmarkEnd w:id="46"/>
      <w:r/>
      <w:bookmarkEnd w:id="47"/>
      <w:r/>
      <w:bookmarkEnd w:id="48"/>
      <w:r/>
      <w:r/>
    </w:p>
    <w:p>
      <w:pPr>
        <w:pStyle w:val="1246"/>
        <w:ind w:firstLine="498"/>
        <w:spacing w:before="145" w:after="145" w:line="400" w:lineRule="exact"/>
        <w:rPr>
          <w:rFonts w:hint="eastAsia"/>
          <w:color w:val="000000"/>
        </w:rPr>
      </w:pPr>
      <w:r/>
      <w:bookmarkStart w:id="49" w:name="_Toc513029203"/>
      <w:r/>
      <w:bookmarkStart w:id="50" w:name="_Toc20823275"/>
      <w:r/>
      <w:bookmarkStart w:id="51" w:name="_Toc120614214"/>
      <w:r/>
      <w:bookmarkStart w:id="52" w:name="_Toc16938519"/>
      <w:r>
        <w:rPr>
          <w:rFonts w:hint="eastAsia"/>
          <w:color w:val="000000"/>
        </w:rPr>
        <w:t xml:space="preserve">一、总则</w:t>
      </w:r>
      <w:bookmarkEnd w:id="49"/>
      <w:r/>
      <w:bookmarkEnd w:id="50"/>
      <w:r/>
      <w:bookmarkEnd w:id="51"/>
      <w:r/>
      <w:bookmarkEnd w:id="52"/>
      <w:r/>
      <w:r/>
    </w:p>
    <w:p>
      <w:pPr>
        <w:pStyle w:val="1247"/>
        <w:ind w:firstLine="420"/>
        <w:spacing w:before="0" w:after="0" w:line="400" w:lineRule="exact"/>
        <w:rPr>
          <w:rFonts w:hint="eastAsia"/>
          <w:b w:val="0"/>
          <w:bCs w:val="0"/>
          <w:color w:val="00000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
    </w:p>
    <w:p>
      <w:pPr>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1247"/>
        <w:ind w:firstLine="420"/>
        <w:spacing w:before="0" w:after="0" w:line="400" w:lineRule="exact"/>
        <w:rPr>
          <w:rFonts w:hint="eastAsia"/>
          <w:b w:val="0"/>
          <w:bCs w:val="0"/>
          <w:color w:val="000000"/>
        </w:rPr>
      </w:pPr>
      <w:r/>
      <w:bookmarkStart w:id="58" w:name="_Toc20823277"/>
      <w:r/>
      <w:bookmarkStart w:id="59" w:name="_Toc16938521"/>
      <w:r/>
      <w:bookmarkStart w:id="60" w:name="_Toc513029205"/>
      <w:r>
        <w:rPr>
          <w:rFonts w:hint="eastAsia"/>
          <w:b w:val="0"/>
          <w:bCs w:val="0"/>
          <w:color w:val="000000"/>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1247"/>
        <w:ind w:firstLine="420"/>
        <w:spacing w:before="0" w:after="0" w:line="400" w:lineRule="exact"/>
        <w:rPr>
          <w:rFonts w:hint="eastAsia"/>
          <w:b w:val="0"/>
          <w:bCs w:val="0"/>
          <w:color w:val="000000"/>
        </w:rPr>
      </w:pPr>
      <w:r/>
      <w:bookmarkStart w:id="61" w:name="_Toc16938522"/>
      <w:r/>
      <w:bookmarkStart w:id="62" w:name="_Toc513029206"/>
      <w:r/>
      <w:bookmarkStart w:id="63" w:name="_Toc20823278"/>
      <w:r>
        <w:rPr>
          <w:rFonts w:hint="eastAsia"/>
          <w:b w:val="0"/>
          <w:bCs w:val="0"/>
          <w:color w:val="000000"/>
        </w:rPr>
        <w:t xml:space="preserve">3、适用法律</w:t>
      </w:r>
      <w:bookmarkEnd w:id="61"/>
      <w:r/>
      <w:bookmarkEnd w:id="62"/>
      <w:r/>
      <w:bookmarkEnd w:id="63"/>
      <w:r/>
      <w:r/>
    </w:p>
    <w:p>
      <w:pPr>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1247"/>
        <w:ind w:firstLine="420"/>
        <w:spacing w:before="0" w:after="0" w:line="400" w:lineRule="exact"/>
        <w:rPr>
          <w:rFonts w:hint="eastAsia"/>
          <w:b w:val="0"/>
          <w:bCs w:val="0"/>
          <w:color w:val="000000"/>
        </w:rPr>
      </w:pPr>
      <w:r/>
      <w:bookmarkStart w:id="64" w:name="_Toc513029207"/>
      <w:r/>
      <w:bookmarkStart w:id="65" w:name="_Toc16938523"/>
      <w:r/>
      <w:bookmarkStart w:id="66" w:name="_Toc20823279"/>
      <w:r/>
      <w:bookmarkStart w:id="67" w:name="_Toc462564067"/>
      <w:r>
        <w:rPr>
          <w:rFonts w:hint="eastAsia"/>
          <w:b w:val="0"/>
          <w:bCs w:val="0"/>
          <w:color w:val="000000"/>
        </w:rPr>
        <w:t xml:space="preserve">4、投标费用</w:t>
      </w:r>
      <w:bookmarkEnd w:id="64"/>
      <w:r/>
      <w:bookmarkEnd w:id="65"/>
      <w:r/>
      <w:bookmarkEnd w:id="66"/>
      <w:r/>
      <w:bookmarkEnd w:id="67"/>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val="en-US" w:eastAsia="zh-CN"/>
        </w:rPr>
        <w:t xml:space="preserve">扬州市公共资源交易中心仪征分中心</w:t>
      </w:r>
      <w:r>
        <w:rPr>
          <w:rFonts w:hint="eastAsia" w:ascii="宋体" w:hAnsi="宋体"/>
          <w:color w:val="000000"/>
          <w:sz w:val="24"/>
        </w:rPr>
        <w:t xml:space="preserve">（以下简称</w:t>
      </w:r>
      <w:r>
        <w:rPr>
          <w:rFonts w:hint="eastAsia" w:ascii="宋体" w:hAnsi="宋体"/>
          <w:color w:val="000000"/>
          <w:sz w:val="24"/>
          <w:lang w:val="en-US" w:eastAsia="zh-CN"/>
        </w:rPr>
        <w:t xml:space="preserve">交易</w:t>
      </w:r>
      <w:r>
        <w:rPr>
          <w:rFonts w:hint="eastAsia" w:ascii="宋体" w:hAnsi="宋体"/>
          <w:color w:val="000000"/>
          <w:sz w:val="24"/>
        </w:rPr>
        <w:t xml:space="preserve">中心）在任何情况下均无义务和责任承担这些费用。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w:t>
      </w:r>
      <w:r>
        <w:rPr>
          <w:rFonts w:hint="eastAsia" w:ascii="宋体" w:hAnsi="宋体"/>
          <w:color w:val="000000"/>
          <w:sz w:val="24"/>
          <w:lang w:val="en-US" w:eastAsia="zh-CN"/>
        </w:rPr>
        <w:t xml:space="preserve">交易</w:t>
      </w:r>
      <w:r>
        <w:rPr>
          <w:rFonts w:hint="eastAsia" w:ascii="宋体" w:hAnsi="宋体"/>
          <w:color w:val="000000"/>
          <w:sz w:val="24"/>
        </w:rPr>
        <w:t xml:space="preserve">中心和采购人不收取标书工本费与中标服务费。</w:t>
      </w:r>
      <w:r/>
    </w:p>
    <w:p>
      <w:pPr>
        <w:pStyle w:val="1247"/>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1246"/>
        <w:ind w:firstLine="321"/>
        <w:spacing w:before="145" w:after="145" w:line="400" w:lineRule="exact"/>
        <w:rPr>
          <w:rFonts w:hint="eastAsia"/>
          <w:color w:val="000000"/>
        </w:rPr>
      </w:pPr>
      <w:r/>
      <w:bookmarkStart w:id="68" w:name="_Toc20823281"/>
      <w:r/>
      <w:bookmarkStart w:id="69" w:name="_Toc513029209"/>
      <w:r/>
      <w:bookmarkStart w:id="70" w:name="_Toc16938525"/>
      <w:r/>
      <w:bookmarkStart w:id="71" w:name="_Toc120614215"/>
      <w:r>
        <w:rPr>
          <w:rFonts w:hint="eastAsia"/>
          <w:color w:val="000000"/>
        </w:rPr>
        <w:t xml:space="preserve">二、招标文件</w:t>
      </w:r>
      <w:bookmarkEnd w:id="68"/>
      <w:r/>
      <w:bookmarkEnd w:id="69"/>
      <w:r/>
      <w:bookmarkEnd w:id="70"/>
      <w:r/>
      <w:bookmarkEnd w:id="71"/>
      <w:r/>
      <w:r/>
    </w:p>
    <w:p>
      <w:pPr>
        <w:pStyle w:val="1247"/>
        <w:ind w:firstLine="420"/>
        <w:spacing w:before="0" w:after="0" w:line="400" w:lineRule="exact"/>
        <w:rPr>
          <w:rFonts w:hint="eastAsia"/>
          <w:b w:val="0"/>
          <w:bCs w:val="0"/>
          <w:color w:val="000000"/>
        </w:rPr>
      </w:pPr>
      <w:r/>
      <w:bookmarkStart w:id="72" w:name="_Toc20823282"/>
      <w:r/>
      <w:bookmarkStart w:id="73" w:name="_Toc16938526"/>
      <w:r/>
      <w:bookmarkStart w:id="74" w:name="_Toc513029210"/>
      <w:r>
        <w:rPr>
          <w:rFonts w:hint="eastAsia"/>
          <w:b w:val="0"/>
          <w:bCs w:val="0"/>
          <w:color w:val="000000"/>
        </w:rPr>
        <w:t xml:space="preserve">6、招标文件构成</w:t>
      </w:r>
      <w:bookmarkEnd w:id="72"/>
      <w:r/>
      <w:bookmarkEnd w:id="73"/>
      <w:r/>
      <w:bookmarkEnd w:id="74"/>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lang w:val="en-US" w:eastAsia="zh-CN"/>
        </w:rPr>
        <w:t xml:space="preserve">交易</w:t>
      </w:r>
      <w:r>
        <w:rPr>
          <w:rFonts w:hint="eastAsia" w:ascii="宋体" w:hAnsi="宋体"/>
          <w:color w:val="000000"/>
          <w:sz w:val="24"/>
        </w:rPr>
        <w:t xml:space="preserve">中心联系解决。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247"/>
        <w:ind w:firstLine="560"/>
        <w:spacing w:before="0" w:after="0" w:line="400" w:lineRule="exact"/>
        <w:rPr>
          <w:rFonts w:hint="eastAsia"/>
          <w:b w:val="0"/>
          <w:bCs w:val="0"/>
          <w:color w:val="000000"/>
        </w:rPr>
      </w:pPr>
      <w:r/>
      <w:bookmarkStart w:id="75" w:name="_Toc513029212"/>
      <w:r/>
      <w:bookmarkStart w:id="76" w:name="_Toc16938528"/>
      <w:r/>
      <w:bookmarkStart w:id="77" w:name="_Toc20823284"/>
      <w:r/>
      <w:bookmarkStart w:id="78" w:name="_Toc462564071"/>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
    </w:p>
    <w:p>
      <w:pPr>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lang w:val="en-US" w:eastAsia="zh-CN"/>
        </w:rPr>
        <w:t xml:space="preserve">交易</w:t>
      </w:r>
      <w:r>
        <w:rPr>
          <w:rFonts w:hint="eastAsia" w:ascii="宋体" w:hAnsi="宋体"/>
          <w:color w:val="000000"/>
          <w:sz w:val="24"/>
        </w:rPr>
        <w:t xml:space="preserve">中心可以对招标文件进行修改。</w:t>
      </w:r>
      <w:r/>
    </w:p>
    <w:p>
      <w:pPr>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 xml:space="preserve">交易</w:t>
      </w:r>
      <w:r>
        <w:rPr>
          <w:rFonts w:hint="eastAsia" w:ascii="宋体" w:hAnsi="宋体"/>
          <w:color w:val="000000"/>
          <w:sz w:val="24"/>
        </w:rPr>
        <w:t xml:space="preserve">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扬州市政府采购网公布</w:t>
      </w:r>
      <w:r>
        <w:rPr>
          <w:rFonts w:hint="eastAsia" w:ascii="宋体" w:hAnsi="宋体"/>
          <w:color w:val="000000"/>
          <w:sz w:val="24"/>
        </w:rPr>
        <w:t xml:space="preserve">，</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1246"/>
        <w:ind w:firstLine="482"/>
        <w:spacing w:before="145" w:after="145" w:line="400" w:lineRule="exact"/>
        <w:rPr>
          <w:rFonts w:hint="eastAsia"/>
          <w:color w:val="000000"/>
        </w:rPr>
      </w:pPr>
      <w:r/>
      <w:bookmarkStart w:id="79" w:name="_Toc462564072"/>
      <w:r/>
      <w:bookmarkStart w:id="80" w:name="_Toc16938529"/>
      <w:r/>
      <w:bookmarkStart w:id="81" w:name="_Toc20823285"/>
      <w:r/>
      <w:bookmarkStart w:id="82" w:name="_Toc513029213"/>
      <w:r/>
      <w:bookmarkStart w:id="83" w:name="_Toc120614216"/>
      <w:r>
        <w:rPr>
          <w:rFonts w:hint="eastAsia"/>
          <w:color w:val="000000"/>
        </w:rPr>
        <w:t xml:space="preserve">三、投标文件的编制</w:t>
      </w:r>
      <w:bookmarkEnd w:id="79"/>
      <w:r/>
      <w:bookmarkEnd w:id="80"/>
      <w:r/>
      <w:bookmarkEnd w:id="81"/>
      <w:r/>
      <w:bookmarkEnd w:id="82"/>
      <w:r/>
      <w:bookmarkEnd w:id="83"/>
      <w:r/>
      <w:r/>
    </w:p>
    <w:p>
      <w:pPr>
        <w:pStyle w:val="1247"/>
        <w:ind w:firstLine="560"/>
        <w:spacing w:before="0" w:after="0" w:line="400" w:lineRule="exact"/>
        <w:rPr>
          <w:rFonts w:hint="eastAsia"/>
          <w:bCs w:val="0"/>
          <w:color w:val="000000"/>
        </w:rPr>
      </w:pPr>
      <w:r/>
      <w:bookmarkStart w:id="84" w:name="_Toc513029214"/>
      <w:r/>
      <w:bookmarkStart w:id="85" w:name="_Toc16938530"/>
      <w:r/>
      <w:bookmarkStart w:id="86" w:name="_Toc20823286"/>
      <w:r/>
      <w:bookmarkStart w:id="87" w:name="_Toc462564073"/>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w:t>
      </w:r>
      <w:r>
        <w:rPr>
          <w:rFonts w:hint="eastAsia" w:ascii="宋体" w:hAnsi="宋体"/>
          <w:color w:val="000000"/>
          <w:sz w:val="24"/>
          <w:lang w:val="en-US" w:eastAsia="zh-CN"/>
        </w:rPr>
        <w:t xml:space="preserve">交易</w:t>
      </w:r>
      <w:r>
        <w:rPr>
          <w:rFonts w:hint="eastAsia" w:ascii="宋体" w:hAnsi="宋体"/>
          <w:color w:val="000000"/>
          <w:sz w:val="24"/>
        </w:rPr>
        <w:t xml:space="preserve">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1247"/>
        <w:ind w:firstLine="420"/>
        <w:spacing w:before="0" w:after="0" w:line="400" w:lineRule="exact"/>
        <w:rPr>
          <w:rFonts w:hint="eastAsia"/>
          <w:b w:val="0"/>
          <w:bCs w:val="0"/>
          <w:color w:val="000000"/>
        </w:rPr>
      </w:pPr>
      <w:r/>
      <w:bookmarkStart w:id="88" w:name="_Toc20823287"/>
      <w:r/>
      <w:bookmarkStart w:id="89" w:name="_Toc16938531"/>
      <w:r/>
      <w:bookmarkStart w:id="90" w:name="_Toc513029215"/>
      <w:r/>
      <w:bookmarkStart w:id="91" w:name="_Toc462564074"/>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
    </w:p>
    <w:p>
      <w:pPr>
        <w:pStyle w:val="1087"/>
        <w:ind w:left="0" w:right="0" w:firstLine="480"/>
        <w:jc w:val="both"/>
        <w:keepLines w:val="0"/>
        <w:keepNext w:val="0"/>
        <w:spacing w:before="0" w:beforeAutospacing="0" w:after="0" w:afterAutospacing="0"/>
        <w:widowControl w:val="off"/>
        <w:rPr>
          <w:rFonts w:hint="eastAsia" w:ascii="宋体" w:hAnsi="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w:t>
      </w:r>
      <w:r>
        <w:rPr>
          <w:rFonts w:hint="eastAsia" w:ascii="宋体" w:hAnsi="宋体"/>
          <w:color w:val="000000"/>
          <w:sz w:val="24"/>
          <w:lang w:val="en-US" w:eastAsia="zh-CN"/>
        </w:rPr>
        <w:t xml:space="preserve">基本目录、</w:t>
      </w:r>
      <w:r>
        <w:rPr>
          <w:rFonts w:hint="eastAsia" w:ascii="宋体" w:hAnsi="宋体"/>
          <w:color w:val="000000"/>
          <w:sz w:val="24"/>
        </w:rPr>
        <w:t xml:space="preserve">资格</w:t>
      </w:r>
      <w:r>
        <w:rPr>
          <w:rFonts w:hint="eastAsia" w:ascii="宋体" w:hAnsi="宋体"/>
          <w:color w:val="000000"/>
          <w:sz w:val="24"/>
          <w:lang w:val="en-US" w:eastAsia="zh-CN"/>
        </w:rPr>
        <w:t xml:space="preserve">审查内容</w:t>
      </w:r>
      <w:r>
        <w:rPr>
          <w:rFonts w:hint="eastAsia" w:ascii="宋体" w:hAnsi="宋体"/>
          <w:color w:val="000000"/>
          <w:sz w:val="24"/>
        </w:rPr>
        <w:t xml:space="preserve">、</w:t>
      </w:r>
      <w:r>
        <w:rPr>
          <w:rFonts w:hint="eastAsia" w:ascii="宋体" w:hAnsi="宋体"/>
          <w:color w:val="000000"/>
          <w:sz w:val="24"/>
          <w:szCs w:val="24"/>
          <w:lang w:val="en-US" w:eastAsia="zh-CN"/>
        </w:rPr>
        <w:t xml:space="preserve">符合性审查内容、</w:t>
      </w:r>
      <w:r>
        <w:rPr>
          <w:rFonts w:hint="eastAsia" w:ascii="宋体" w:hAnsi="宋体" w:cs="宋体"/>
          <w:b w:val="0"/>
          <w:bCs w:val="0"/>
          <w:color w:val="000000"/>
          <w:sz w:val="24"/>
          <w:szCs w:val="24"/>
          <w:lang w:val="en-US" w:eastAsia="zh-CN"/>
        </w:rPr>
        <w:t xml:space="preserve">价格扣除证明文件</w:t>
      </w:r>
      <w:r>
        <w:rPr>
          <w:rFonts w:hint="eastAsia" w:ascii="宋体" w:hAnsi="宋体"/>
          <w:color w:val="000000"/>
          <w:sz w:val="24"/>
          <w:szCs w:val="24"/>
          <w:lang w:val="en-US" w:eastAsia="zh-CN"/>
        </w:rPr>
        <w:t xml:space="preserve">等部分。</w:t>
      </w:r>
      <w:r/>
    </w:p>
    <w:p>
      <w:pPr>
        <w:ind w:firstLine="480"/>
        <w:spacing w:line="400" w:lineRule="exact"/>
        <w:rPr>
          <w:rFonts w:hint="eastAsia" w:ascii="宋体" w:hAnsi="宋体"/>
          <w:color w:val="ff0000"/>
          <w:sz w:val="24"/>
        </w:rPr>
      </w:pPr>
      <w:r>
        <w:rPr>
          <w:rFonts w:ascii="宋体" w:hAnsi="宋体"/>
          <w:color w:val="ff0000"/>
          <w:sz w:val="24"/>
        </w:rPr>
        <w:t xml:space="preserve">9</w:t>
      </w:r>
      <w:r>
        <w:rPr>
          <w:rFonts w:hint="eastAsia" w:ascii="宋体" w:hAnsi="宋体"/>
          <w:color w:val="ff0000"/>
          <w:sz w:val="24"/>
        </w:rPr>
        <w:t xml:space="preserve">.2 如标书制作工具中格式和内容与“江苏政府采购网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”发布的招标文件不一致，请以“江苏政府采购网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”发布的招标文件为准。</w:t>
      </w:r>
      <w:r/>
    </w:p>
    <w:p>
      <w:pPr>
        <w:pStyle w:val="1247"/>
        <w:ind w:firstLine="420"/>
        <w:spacing w:before="0" w:after="0" w:line="400" w:lineRule="exact"/>
        <w:rPr>
          <w:rFonts w:hint="eastAsia"/>
          <w:b w:val="0"/>
          <w:bCs w:val="0"/>
          <w:color w:val="000000"/>
        </w:rPr>
      </w:pPr>
      <w:r/>
      <w:bookmarkStart w:id="92" w:name="_Hlt26668975"/>
      <w:r/>
      <w:bookmarkEnd w:id="92"/>
      <w:r/>
      <w:bookmarkStart w:id="93" w:name="_Hlt26954838"/>
      <w:r/>
      <w:bookmarkEnd w:id="93"/>
      <w:r/>
      <w:bookmarkStart w:id="94" w:name="_Hlt26670360"/>
      <w:r/>
      <w:bookmarkEnd w:id="94"/>
      <w:r/>
      <w:bookmarkStart w:id="95" w:name="_Toc14577357"/>
      <w:r/>
      <w:bookmarkStart w:id="96" w:name="_Toc513029219"/>
      <w:r/>
      <w:bookmarkStart w:id="97" w:name="_Toc49090509"/>
      <w:r/>
      <w:bookmarkStart w:id="98" w:name="_Toc513029216"/>
      <w:r/>
      <w:bookmarkStart w:id="99" w:name="_Toc14577354"/>
      <w:r/>
      <w:bookmarkStart w:id="100" w:name="_Toc49090507"/>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hint="default" w:ascii="宋体" w:hAnsi="宋体" w:eastAsia="宋体"/>
          <w:color w:val="000000"/>
          <w:sz w:val="24"/>
          <w:szCs w:val="24"/>
          <w:lang w:val="en-US" w:eastAsia="zh-CN"/>
        </w:rPr>
      </w:pPr>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w:t>
      </w:r>
      <w:r>
        <w:rPr>
          <w:rFonts w:hint="eastAsia" w:ascii="宋体" w:hAnsi="宋体"/>
          <w:color w:val="000000"/>
          <w:sz w:val="24"/>
          <w:szCs w:val="24"/>
          <w:lang w:val="en-US" w:eastAsia="zh-CN"/>
        </w:rPr>
        <w:t xml:space="preserve">招标文件要求提交证明文件，证明</w:t>
      </w:r>
      <w:r>
        <w:rPr>
          <w:rFonts w:hint="eastAsia" w:ascii="宋体" w:hAnsi="宋体"/>
          <w:color w:val="000000"/>
          <w:sz w:val="24"/>
          <w:szCs w:val="24"/>
          <w:highlight w:val="none"/>
          <w:lang w:val="en-US" w:eastAsia="zh-CN"/>
        </w:rPr>
        <w:t xml:space="preserve">其</w:t>
      </w:r>
      <w:r>
        <w:rPr>
          <w:rFonts w:hint="eastAsia" w:ascii="宋体" w:hAnsi="宋体"/>
          <w:color w:val="000000"/>
          <w:sz w:val="24"/>
          <w:szCs w:val="24"/>
          <w:lang w:val="en-US" w:eastAsia="zh-CN"/>
        </w:rPr>
        <w:t xml:space="preserve">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1247"/>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1247"/>
        <w:ind w:firstLine="420"/>
        <w:spacing w:before="0" w:after="0" w:line="400" w:lineRule="exact"/>
        <w:rPr>
          <w:rFonts w:hint="eastAsia"/>
          <w:b w:val="0"/>
          <w:bCs w:val="0"/>
          <w:color w:val="000000"/>
        </w:rPr>
      </w:pPr>
      <w:r/>
      <w:bookmarkStart w:id="106" w:name="_Hlt26670486"/>
      <w:r/>
      <w:bookmarkEnd w:id="106"/>
      <w:r/>
      <w:bookmarkStart w:id="107" w:name="_Hlt26670482"/>
      <w:r/>
      <w:bookmarkEnd w:id="107"/>
      <w:r/>
      <w:bookmarkStart w:id="108" w:name="_Hlt26670403"/>
      <w:r/>
      <w:bookmarkEnd w:id="108"/>
      <w:r/>
      <w:bookmarkStart w:id="109" w:name="_Hlt26954848"/>
      <w:r/>
      <w:bookmarkEnd w:id="109"/>
      <w:r/>
      <w:bookmarkStart w:id="110" w:name="_Hlt26668983"/>
      <w:r/>
      <w:bookmarkEnd w:id="110"/>
      <w:r/>
      <w:bookmarkStart w:id="111" w:name="_Hlt26954842"/>
      <w:r/>
      <w:bookmarkEnd w:id="111"/>
      <w:r/>
      <w:bookmarkStart w:id="112" w:name="_Hlt26954846"/>
      <w:r/>
      <w:bookmarkEnd w:id="112"/>
      <w:r/>
      <w:bookmarkStart w:id="113" w:name="_Hlt26954844"/>
      <w:r/>
      <w:bookmarkEnd w:id="113"/>
      <w:r/>
      <w:bookmarkStart w:id="114" w:name="_Hlt26954731"/>
      <w:r/>
      <w:bookmarkEnd w:id="114"/>
      <w:r/>
      <w:bookmarkStart w:id="115" w:name="_Hlt26670425"/>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sz w:val="24"/>
          <w:lang w:val="zh-CN"/>
        </w:rPr>
      </w:pPr>
      <w:r/>
      <w:bookmarkStart w:id="116" w:name="_Toc14577359"/>
      <w:r/>
      <w:bookmarkStart w:id="117"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1247"/>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6"/>
      <w:r/>
      <w:bookmarkEnd w:id="117"/>
      <w:r/>
      <w:r/>
    </w:p>
    <w:p>
      <w:pPr>
        <w:pStyle w:val="1247"/>
        <w:ind w:firstLine="420"/>
        <w:spacing w:before="0" w:after="0" w:line="400" w:lineRule="exact"/>
        <w:rPr>
          <w:rFonts w:hint="eastAsia"/>
          <w:b w:val="0"/>
          <w:bCs w:val="0"/>
          <w:color w:val="000000"/>
        </w:rPr>
      </w:pPr>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1247"/>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中心于原投标有效期满之前，可向投标人提出延长投标有效期的要求。这种要求与答复均应采用书面形式。投标人可以拒绝</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1246"/>
        <w:ind w:firstLine="482"/>
        <w:spacing w:before="145" w:after="145" w:line="400" w:lineRule="exact"/>
        <w:rPr>
          <w:rFonts w:hint="eastAsia"/>
          <w:color w:val="000000"/>
        </w:rPr>
      </w:pPr>
      <w:r/>
      <w:bookmarkStart w:id="123" w:name="_Hlt26954739"/>
      <w:r/>
      <w:bookmarkEnd w:id="123"/>
      <w:r/>
      <w:bookmarkStart w:id="124" w:name="_Hlt26954852"/>
      <w:r/>
      <w:bookmarkEnd w:id="124"/>
      <w:r/>
      <w:bookmarkStart w:id="125" w:name="_Toc513029224"/>
      <w:r/>
      <w:bookmarkStart w:id="126" w:name="_Toc120614217"/>
      <w:r/>
      <w:bookmarkStart w:id="127" w:name="_Toc20823296"/>
      <w:r/>
      <w:bookmarkStart w:id="128" w:name="_Toc16938540"/>
      <w:r>
        <w:rPr>
          <w:rFonts w:hint="eastAsia"/>
          <w:color w:val="000000"/>
        </w:rPr>
        <w:t xml:space="preserve">四、投标文件的递交</w:t>
      </w:r>
      <w:bookmarkEnd w:id="125"/>
      <w:r/>
      <w:bookmarkEnd w:id="126"/>
      <w:r/>
      <w:bookmarkEnd w:id="127"/>
      <w:r/>
      <w:bookmarkEnd w:id="128"/>
      <w:r/>
      <w:r/>
    </w:p>
    <w:p>
      <w:pPr>
        <w:pStyle w:val="1247"/>
        <w:ind w:firstLine="560"/>
        <w:spacing w:before="0" w:after="0" w:line="400" w:lineRule="exact"/>
        <w:rPr>
          <w:rFonts w:hint="eastAsia" w:ascii="黑体"/>
          <w:b w:val="0"/>
          <w:bCs w:val="0"/>
          <w:color w:val="000000"/>
        </w:rPr>
      </w:pPr>
      <w:r/>
      <w:bookmarkStart w:id="129" w:name="_Toc513029225"/>
      <w:r/>
      <w:bookmarkStart w:id="130" w:name="_Toc462564084"/>
      <w:r/>
      <w:bookmarkStart w:id="131" w:name="_Toc20823297"/>
      <w:r/>
      <w:bookmarkStart w:id="132" w:name="_Toc16938541"/>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b w:val="0"/>
          <w:bCs w:val="0"/>
          <w:color w:val="000000"/>
          <w:lang w:val="en-US" w:eastAsia="zh-CN"/>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20823298"/>
      <w:r/>
      <w:bookmarkStart w:id="134" w:name="_Toc16938542"/>
      <w:r/>
      <w:bookmarkStart w:id="135" w:name="_Toc513029226"/>
      <w:r/>
      <w:r/>
    </w:p>
    <w:p>
      <w:pPr>
        <w:pStyle w:val="1247"/>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 xml:space="preserve">25.1.2</w:t>
      </w:r>
      <w:r>
        <w:rPr>
          <w:rFonts w:hint="eastAsia" w:ascii="宋体" w:hAnsi="宋体"/>
          <w:bCs/>
          <w:color w:val="000000"/>
          <w:sz w:val="24"/>
        </w:rPr>
        <w:t xml:space="preserve">条规定做无效投标处理。</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中心可以按照规定，通过修改招标文件酌情延长投标截止时间，在此情况下，投标人的所有权利和义务以及投标人受制的截止时间均应以延长后新的截止时间为准。</w:t>
      </w:r>
      <w:r/>
    </w:p>
    <w:p>
      <w:pPr>
        <w:pStyle w:val="1247"/>
        <w:ind w:firstLine="420"/>
        <w:spacing w:before="0" w:after="0" w:line="400" w:lineRule="exact"/>
        <w:rPr>
          <w:rFonts w:hint="eastAsia"/>
          <w:b w:val="0"/>
          <w:bCs w:val="0"/>
          <w:color w:val="000000"/>
        </w:rPr>
      </w:pPr>
      <w:r/>
      <w:bookmarkStart w:id="136" w:name="_Toc16938543"/>
      <w:r/>
      <w:bookmarkStart w:id="137" w:name="_Toc20823299"/>
      <w:r/>
      <w:bookmarkStart w:id="138" w:name="_Toc513029227"/>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中心拒绝接收在其规定的投标截止时间后上传的任何投标文件。</w:t>
      </w:r>
      <w:r/>
    </w:p>
    <w:p>
      <w:pPr>
        <w:pStyle w:val="1247"/>
        <w:ind w:firstLine="420"/>
        <w:spacing w:before="0" w:after="0" w:line="400" w:lineRule="exact"/>
        <w:rPr>
          <w:rFonts w:hint="eastAsia"/>
          <w:b w:val="0"/>
          <w:bCs w:val="0"/>
          <w:color w:val="000000"/>
        </w:rPr>
      </w:pPr>
      <w:r/>
      <w:bookmarkStart w:id="139" w:name="_Toc20823300"/>
      <w:r/>
      <w:bookmarkStart w:id="140" w:name="_Toc513029228"/>
      <w:r/>
      <w:bookmarkStart w:id="141" w:name="_Toc16938544"/>
      <w:r>
        <w:rPr>
          <w:b w:val="0"/>
          <w:bCs w:val="0"/>
          <w:color w:val="000000"/>
        </w:rPr>
        <w:t xml:space="preserve">19</w:t>
      </w:r>
      <w:r>
        <w:rPr>
          <w:rFonts w:hint="eastAsia"/>
          <w:b w:val="0"/>
          <w:bCs w:val="0"/>
          <w:color w:val="000000"/>
        </w:rPr>
        <w:t xml:space="preserve">、投标文件的撤回和修改</w:t>
      </w:r>
      <w:bookmarkEnd w:id="139"/>
      <w:r/>
      <w:bookmarkEnd w:id="140"/>
      <w:r/>
      <w:bookmarkEnd w:id="141"/>
      <w:r/>
      <w:r/>
    </w:p>
    <w:p>
      <w:pPr>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1246"/>
        <w:ind w:firstLine="482"/>
        <w:spacing w:before="145" w:after="145" w:line="400" w:lineRule="exact"/>
        <w:rPr>
          <w:rFonts w:hint="eastAsia"/>
          <w:color w:val="000000"/>
        </w:rPr>
      </w:pPr>
      <w:r/>
      <w:bookmarkStart w:id="142" w:name="_Toc20823301"/>
      <w:r/>
      <w:bookmarkStart w:id="143" w:name="_Toc16938545"/>
      <w:r/>
      <w:bookmarkStart w:id="144" w:name="_Toc513029229"/>
      <w:r/>
      <w:bookmarkStart w:id="145" w:name="_Toc120614218"/>
      <w:r>
        <w:rPr>
          <w:rFonts w:hint="eastAsia"/>
          <w:color w:val="000000"/>
        </w:rPr>
        <w:t xml:space="preserve">五、开标与评标</w:t>
      </w:r>
      <w:bookmarkEnd w:id="142"/>
      <w:r/>
      <w:bookmarkEnd w:id="143"/>
      <w:r/>
      <w:bookmarkEnd w:id="144"/>
      <w:r/>
      <w:bookmarkEnd w:id="145"/>
      <w:r/>
      <w:r/>
    </w:p>
    <w:p>
      <w:pPr>
        <w:pStyle w:val="1247"/>
        <w:ind w:firstLine="420"/>
        <w:spacing w:before="0" w:after="0" w:line="400" w:lineRule="exact"/>
        <w:rPr>
          <w:rFonts w:hint="eastAsia"/>
          <w:b w:val="0"/>
          <w:bCs w:val="0"/>
          <w:color w:val="000000"/>
        </w:rPr>
      </w:pPr>
      <w:r/>
      <w:bookmarkStart w:id="146" w:name="_Toc16938546"/>
      <w:r/>
      <w:bookmarkStart w:id="147" w:name="_Toc20823302"/>
      <w:r/>
      <w:bookmarkStart w:id="148" w:name="_Toc513029230"/>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
    </w:p>
    <w:p>
      <w:pPr>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中心组织。苏采云系统将自动对</w:t>
      </w:r>
      <w:r>
        <w:rPr>
          <w:rFonts w:ascii="宋体" w:hAnsi="宋体"/>
          <w:color w:val="000000"/>
          <w:sz w:val="24"/>
          <w:szCs w:val="24"/>
        </w:rPr>
        <w:t xml:space="preserve">项目进行开标，并</w:t>
      </w:r>
      <w:r>
        <w:rPr>
          <w:rFonts w:hint="eastAsia" w:ascii="宋体" w:hAnsi="宋体"/>
          <w:color w:val="000000"/>
          <w:sz w:val="24"/>
          <w:szCs w:val="24"/>
          <w:lang w:val="en-US" w:eastAsia="zh-CN"/>
        </w:rPr>
        <w:t xml:space="preserve">展示</w:t>
      </w:r>
      <w:r>
        <w:rPr>
          <w:rFonts w:hint="eastAsia" w:ascii="宋体" w:hAnsi="宋体"/>
          <w:color w:val="000000"/>
          <w:sz w:val="24"/>
          <w:szCs w:val="24"/>
        </w:rPr>
        <w:t xml:space="preserve">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1247"/>
        <w:ind w:firstLine="420"/>
        <w:spacing w:before="0" w:after="0" w:line="400" w:lineRule="exact"/>
        <w:rPr>
          <w:rFonts w:hint="eastAsia"/>
          <w:b w:val="0"/>
          <w:bCs w:val="0"/>
          <w:color w:val="000000"/>
        </w:rPr>
      </w:pPr>
      <w:r/>
      <w:bookmarkStart w:id="149" w:name="_Toc20823303"/>
      <w:r/>
      <w:bookmarkStart w:id="150" w:name="_Toc513029231"/>
      <w:r/>
      <w:bookmarkStart w:id="151" w:name="_Toc16938547"/>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w:t>
      </w:r>
      <w:r>
        <w:rPr>
          <w:rFonts w:hint="eastAsia" w:ascii="宋体" w:hAnsi="宋体"/>
          <w:color w:val="000000"/>
          <w:sz w:val="24"/>
          <w:szCs w:val="24"/>
        </w:rPr>
        <w:t xml:space="preserve">选人。</w:t>
      </w:r>
      <w:r/>
    </w:p>
    <w:p>
      <w:pPr>
        <w:pStyle w:val="1247"/>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9"/>
      <w:r/>
      <w:bookmarkEnd w:id="150"/>
      <w:r/>
      <w:bookmarkEnd w:id="151"/>
      <w:r/>
      <w:r/>
    </w:p>
    <w:p>
      <w:pPr>
        <w:ind w:firstLine="480"/>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1247"/>
        <w:ind w:firstLine="420"/>
        <w:spacing w:before="0" w:after="0" w:line="400" w:lineRule="exact"/>
        <w:rPr>
          <w:rFonts w:hint="eastAsia"/>
          <w:b w:val="0"/>
          <w:bCs w:val="0"/>
          <w:color w:val="000000"/>
        </w:rPr>
      </w:pPr>
      <w:r/>
      <w:bookmarkStart w:id="152" w:name="_Toc513029232"/>
      <w:r/>
      <w:bookmarkStart w:id="153" w:name="_Toc16938548"/>
      <w:r/>
      <w:bookmarkStart w:id="154" w:name="_Toc20823304"/>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hint="eastAsia" w:ascii="宋体" w:hAnsi="宋体"/>
          <w:color w:val="000000"/>
          <w:sz w:val="24"/>
          <w:szCs w:val="24"/>
          <w:lang w:eastAsia="zh-CN"/>
        </w:rPr>
        <w:t xml:space="preserve">，</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1247"/>
        <w:ind w:firstLine="420"/>
        <w:spacing w:before="0" w:after="0" w:line="400" w:lineRule="exact"/>
        <w:rPr>
          <w:rFonts w:hint="eastAsia"/>
          <w:b w:val="0"/>
          <w:bCs w:val="0"/>
          <w:color w:val="000000"/>
        </w:rPr>
      </w:pPr>
      <w:r/>
      <w:bookmarkStart w:id="155" w:name="_Toc20823305"/>
      <w:r/>
      <w:bookmarkStart w:id="156" w:name="_Toc16938549"/>
      <w:r/>
      <w:bookmarkStart w:id="157" w:name="_Toc513029233"/>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
    </w:p>
    <w:p>
      <w:pPr>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w:t>
      </w:r>
      <w:r>
        <w:rPr>
          <w:rFonts w:hint="eastAsia" w:ascii="宋体" w:hAnsi="宋体"/>
          <w:bCs/>
          <w:color w:val="000000"/>
          <w:sz w:val="24"/>
          <w:lang w:val="en-US" w:eastAsia="zh-CN"/>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w:t>
      </w:r>
      <w:r>
        <w:rPr>
          <w:rFonts w:hint="eastAsia" w:ascii="宋体" w:hAnsi="宋体"/>
          <w:bCs/>
          <w:color w:val="000000"/>
          <w:sz w:val="24"/>
          <w:lang w:val="en-US" w:eastAsia="zh-CN"/>
        </w:rPr>
        <w:t xml:space="preserve">中任何一方</w:t>
      </w:r>
      <w:r>
        <w:rPr>
          <w:rFonts w:hint="eastAsia" w:ascii="宋体" w:hAnsi="宋体"/>
          <w:bCs/>
          <w:color w:val="000000"/>
          <w:sz w:val="24"/>
        </w:rPr>
        <w:t xml:space="preserve">存在不良信用记录的，视同联合体存在不良</w:t>
      </w:r>
      <w:r>
        <w:rPr>
          <w:rFonts w:hint="eastAsia" w:ascii="宋体" w:hAnsi="宋体"/>
          <w:bCs/>
          <w:color w:val="000000"/>
          <w:sz w:val="24"/>
          <w:lang w:val="en-US" w:eastAsia="zh-CN"/>
        </w:rPr>
        <w:t xml:space="preserve">信用</w:t>
      </w:r>
      <w:r>
        <w:rPr>
          <w:rFonts w:hint="eastAsia" w:ascii="宋体" w:hAnsi="宋体"/>
          <w:bCs/>
          <w:color w:val="000000"/>
          <w:sz w:val="24"/>
        </w:rPr>
        <w:t xml:space="preserve">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lang w:val="en-US" w:eastAsia="zh-CN"/>
        </w:rPr>
        <w:t xml:space="preserve">审</w:t>
      </w:r>
      <w:r>
        <w:rPr>
          <w:rFonts w:ascii="宋体" w:hAnsi="宋体"/>
          <w:bCs/>
          <w:color w:val="000000"/>
          <w:sz w:val="24"/>
          <w:highlight w:val="none"/>
        </w:rPr>
        <w:t xml:space="preserve">结束后，</w:t>
      </w:r>
      <w:r>
        <w:rPr>
          <w:rFonts w:hint="eastAsia" w:ascii="宋体" w:hAnsi="宋体"/>
          <w:bCs/>
          <w:color w:val="000000"/>
          <w:sz w:val="24"/>
          <w:highlight w:val="none"/>
          <w:lang w:val="en-US" w:eastAsia="zh-CN"/>
        </w:rPr>
        <w:t xml:space="preserve">交易</w:t>
      </w:r>
      <w:r>
        <w:rPr>
          <w:rFonts w:ascii="宋体" w:hAnsi="宋体"/>
          <w:bCs/>
          <w:color w:val="000000"/>
          <w:sz w:val="24"/>
          <w:highlight w:val="none"/>
        </w:rPr>
        <w:t xml:space="preserve">中心将不再告知未通过资格审查</w:t>
      </w:r>
      <w:r>
        <w:rPr>
          <w:rFonts w:hint="eastAsia" w:ascii="宋体" w:hAnsi="宋体"/>
          <w:bCs/>
          <w:color w:val="000000"/>
          <w:sz w:val="24"/>
          <w:highlight w:val="none"/>
          <w:lang w:val="en-US" w:eastAsia="zh-CN"/>
        </w:rPr>
        <w:t xml:space="preserve">或</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 xml:space="preserve">交易</w:t>
      </w:r>
      <w:r>
        <w:rPr>
          <w:rFonts w:hint="eastAsia" w:ascii="宋体" w:hAnsi="宋体"/>
          <w:color w:val="000000"/>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 xml:space="preserve">会</w:t>
      </w:r>
      <w:r>
        <w:rPr>
          <w:rFonts w:hint="eastAsia" w:ascii="宋体" w:hAnsi="宋体"/>
          <w:color w:val="000000"/>
          <w:sz w:val="24"/>
        </w:rPr>
        <w:t xml:space="preserve">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000000"/>
          <w:sz w:val="24"/>
        </w:rPr>
      </w:pPr>
      <w:r/>
      <w:bookmarkStart w:id="158" w:name="_Toc16938550"/>
      <w:r/>
      <w:bookmarkStart w:id="159" w:name="_Toc20823306"/>
      <w:r/>
      <w:bookmarkStart w:id="160" w:name="_Toc513029234"/>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w:t>
      </w:r>
      <w:r>
        <w:rPr>
          <w:rFonts w:hint="eastAsia" w:ascii="宋体" w:hAnsi="宋体"/>
          <w:color w:val="000000"/>
          <w:sz w:val="24"/>
          <w:lang w:eastAsia="zh-CN"/>
        </w:rPr>
        <w:t xml:space="preserve">交易中心</w:t>
      </w:r>
      <w:r>
        <w:rPr>
          <w:rFonts w:hint="eastAsia" w:ascii="宋体" w:hAnsi="宋体"/>
          <w:color w:val="000000"/>
          <w:sz w:val="24"/>
        </w:rPr>
        <w:t xml:space="preserve">及评委会联系。</w:t>
      </w:r>
      <w:r/>
    </w:p>
    <w:p>
      <w:pPr>
        <w:pStyle w:val="1247"/>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p>
    <w:p>
      <w:pPr>
        <w:ind w:left="479"/>
        <w:spacing w:line="400" w:lineRule="exact"/>
        <w:rPr>
          <w:rFonts w:hint="eastAsia" w:ascii="宋体" w:hAnsi="宋体"/>
          <w:bCs/>
          <w:color w:val="000000"/>
          <w:sz w:val="24"/>
        </w:rPr>
      </w:pPr>
      <w:r/>
      <w:bookmarkStart w:id="161" w:name="_Toc20823307"/>
      <w:r/>
      <w:bookmarkStart w:id="162" w:name="_Toc16938551"/>
      <w:r/>
      <w:bookmarkStart w:id="163" w:name="_Toc513029235"/>
      <w:r>
        <w:rPr>
          <w:rFonts w:hint="eastAsia" w:ascii="宋体" w:hAnsi="宋体"/>
          <w:bCs/>
          <w:color w:val="000000"/>
          <w:sz w:val="24"/>
        </w:rPr>
        <w:t xml:space="preserve">25.1无效投标条款</w:t>
      </w:r>
      <w:r/>
    </w:p>
    <w:p>
      <w:pPr>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 xml:space="preserve">，</w:t>
      </w:r>
      <w:r>
        <w:rPr>
          <w:rFonts w:hint="eastAsia" w:ascii="宋体" w:hAnsi="宋体"/>
          <w:sz w:val="24"/>
          <w:szCs w:val="24"/>
        </w:rPr>
        <w:t xml:space="preserve">“中国政府采购网"(www.ccgp.gov.cn)列入政府采购严重失信行为记录名单</w:t>
      </w:r>
      <w:r>
        <w:rPr>
          <w:rFonts w:hint="eastAsia" w:ascii="宋体" w:hAnsi="宋体"/>
          <w:sz w:val="24"/>
          <w:szCs w:val="24"/>
          <w:lang w:eastAsia="zh-CN"/>
        </w:rPr>
        <w:t xml:space="preserve">，</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hint="eastAsia" w:ascii="宋体" w:hAnsi="宋体" w:eastAsia="宋体"/>
          <w:bCs/>
          <w:color w:val="ff0000"/>
          <w:sz w:val="24"/>
          <w:szCs w:val="21"/>
          <w:highlight w:val="none"/>
          <w:lang w:val="en-US" w:eastAsia="zh-CN"/>
        </w:rPr>
      </w:pPr>
      <w:r>
        <w:rPr>
          <w:rFonts w:hint="eastAsia" w:ascii="宋体" w:hAnsi="宋体"/>
          <w:bCs/>
          <w:color w:val="ff0000"/>
          <w:sz w:val="24"/>
          <w:szCs w:val="21"/>
          <w:highlight w:val="none"/>
        </w:rPr>
        <w:t xml:space="preserve">2</w:t>
      </w:r>
      <w:r>
        <w:rPr>
          <w:rFonts w:hint="eastAsia" w:ascii="宋体" w:hAnsi="宋体"/>
          <w:bCs/>
          <w:color w:val="ff0000"/>
          <w:sz w:val="24"/>
          <w:szCs w:val="21"/>
          <w:highlight w:val="none"/>
          <w:lang w:val="en-US" w:eastAsia="zh-CN"/>
        </w:rPr>
        <w:t xml:space="preserve">5</w:t>
      </w:r>
      <w:r>
        <w:rPr>
          <w:rFonts w:hint="eastAsia" w:ascii="宋体" w:hAnsi="宋体"/>
          <w:bCs/>
          <w:color w:val="ff0000"/>
          <w:sz w:val="24"/>
          <w:szCs w:val="21"/>
          <w:highlight w:val="none"/>
        </w:rPr>
        <w:t xml:space="preserve">.1.</w:t>
      </w:r>
      <w:r>
        <w:rPr>
          <w:rFonts w:ascii="宋体" w:hAnsi="宋体"/>
          <w:bCs/>
          <w:color w:val="ff0000"/>
          <w:sz w:val="24"/>
          <w:szCs w:val="21"/>
          <w:highlight w:val="none"/>
        </w:rPr>
        <w:t xml:space="preserve">10</w:t>
      </w:r>
      <w:r>
        <w:rPr>
          <w:rFonts w:hint="eastAsia" w:ascii="宋体" w:hAnsi="宋体"/>
          <w:bCs/>
          <w:color w:val="ff0000"/>
          <w:sz w:val="24"/>
          <w:szCs w:val="21"/>
          <w:highlight w:val="none"/>
          <w:lang w:val="en-US" w:eastAsia="zh-CN"/>
        </w:rPr>
        <w:t xml:space="preserve"> 异常低价投标（响应）</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25.1.10.</w:t>
      </w:r>
      <w:r>
        <w:rPr>
          <w:rFonts w:hint="eastAsia" w:ascii="宋体" w:hAnsi="宋体"/>
          <w:bCs/>
          <w:color w:val="ff0000"/>
          <w:sz w:val="24"/>
          <w:szCs w:val="21"/>
        </w:rPr>
        <w:t xml:space="preserve">1投标</w:t>
      </w:r>
      <w:r>
        <w:rPr>
          <w:rFonts w:hint="eastAsia" w:ascii="宋体" w:hAnsi="宋体"/>
          <w:bCs/>
          <w:color w:val="ff0000"/>
          <w:sz w:val="24"/>
          <w:szCs w:val="21"/>
          <w:highlight w:val="none"/>
        </w:rPr>
        <w:t xml:space="preserve">（响应）</w:t>
      </w:r>
      <w:r>
        <w:rPr>
          <w:rFonts w:hint="eastAsia" w:ascii="宋体" w:hAnsi="宋体"/>
          <w:bCs/>
          <w:color w:val="ff0000"/>
          <w:sz w:val="24"/>
          <w:szCs w:val="21"/>
        </w:rPr>
        <w:t xml:space="preserve">报价低于采购项目预算 50% 的，即投标</w:t>
      </w:r>
      <w:r>
        <w:rPr>
          <w:rFonts w:hint="eastAsia" w:ascii="宋体" w:hAnsi="宋体"/>
          <w:bCs/>
          <w:color w:val="ff0000"/>
          <w:sz w:val="24"/>
          <w:szCs w:val="21"/>
          <w:highlight w:val="none"/>
        </w:rPr>
        <w:t xml:space="preserve">（响应）</w:t>
      </w:r>
      <w:r>
        <w:rPr>
          <w:rFonts w:hint="eastAsia" w:ascii="宋体" w:hAnsi="宋体"/>
          <w:bCs/>
          <w:color w:val="ff0000"/>
          <w:sz w:val="24"/>
          <w:szCs w:val="21"/>
        </w:rPr>
        <w:t xml:space="preserve">报价&lt;采购项目预算×50% ；</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25.1.10.</w:t>
      </w:r>
      <w:r>
        <w:rPr>
          <w:rFonts w:hint="eastAsia" w:ascii="宋体" w:hAnsi="宋体"/>
          <w:bCs/>
          <w:color w:val="ff0000"/>
          <w:sz w:val="24"/>
          <w:szCs w:val="21"/>
        </w:rPr>
        <w:t xml:space="preserve">2投标（响应）报价低于采购项目最高限价 45% 的，即投标（响应）报价&lt;采购项目最高限价×45% ；</w:t>
      </w:r>
      <w:r/>
    </w:p>
    <w:p>
      <w:pPr>
        <w:ind w:firstLine="480"/>
        <w:spacing w:line="400" w:lineRule="exact"/>
        <w:rPr>
          <w:rFonts w:hint="eastAsia" w:ascii="宋体" w:hAnsi="宋体"/>
          <w:bCs/>
          <w:color w:val="ff0000"/>
          <w:sz w:val="24"/>
          <w:szCs w:val="21"/>
        </w:rPr>
      </w:pPr>
      <w:r>
        <w:rPr>
          <w:rFonts w:hint="eastAsia" w:ascii="宋体" w:hAnsi="宋体"/>
          <w:color w:val="ff0000"/>
          <w:sz w:val="24"/>
          <w:szCs w:val="24"/>
        </w:rPr>
        <w:t xml:space="preserve">2</w:t>
      </w:r>
      <w:r>
        <w:rPr>
          <w:rFonts w:hint="eastAsia" w:ascii="宋体" w:hAnsi="宋体"/>
          <w:color w:val="ff0000"/>
          <w:sz w:val="24"/>
          <w:szCs w:val="24"/>
          <w:lang w:val="en-US" w:eastAsia="zh-CN"/>
        </w:rPr>
        <w:t xml:space="preserve">5</w:t>
      </w:r>
      <w:r>
        <w:rPr>
          <w:rFonts w:hint="eastAsia" w:ascii="宋体" w:hAnsi="宋体"/>
          <w:color w:val="ff0000"/>
          <w:sz w:val="24"/>
          <w:szCs w:val="24"/>
        </w:rPr>
        <w:t xml:space="preserve">.1.10.</w:t>
      </w:r>
      <w:r>
        <w:rPr>
          <w:rFonts w:hint="eastAsia" w:ascii="宋体" w:hAnsi="宋体"/>
          <w:color w:val="ff0000"/>
          <w:sz w:val="24"/>
          <w:szCs w:val="24"/>
          <w:lang w:val="en-US" w:eastAsia="zh-CN"/>
        </w:rPr>
        <w:t xml:space="preserve">3</w:t>
      </w:r>
      <w:r>
        <w:rPr>
          <w:rFonts w:hint="eastAsia" w:ascii="宋体" w:hAnsi="宋体"/>
          <w:bCs/>
          <w:color w:val="ff0000"/>
          <w:sz w:val="24"/>
          <w:szCs w:val="21"/>
        </w:rPr>
        <w:t xml:space="preserve">评审委员会认定的供应商报价过低、有可能影响产品质量或者不能诚信履约的其他情形。</w:t>
      </w:r>
      <w:r/>
    </w:p>
    <w:p>
      <w:pPr>
        <w:ind w:firstLine="480"/>
        <w:spacing w:line="400" w:lineRule="exact"/>
        <w:rPr>
          <w:rFonts w:hint="eastAsia" w:ascii="宋体" w:hAnsi="宋体"/>
          <w:bCs/>
          <w:color w:val="000000"/>
          <w:sz w:val="24"/>
          <w:highlight w:val="green"/>
        </w:rPr>
      </w:pPr>
      <w:r>
        <w:rPr>
          <w:rFonts w:hint="eastAsia" w:ascii="宋体" w:hAnsi="宋体"/>
          <w:color w:val="ff0000"/>
          <w:sz w:val="24"/>
          <w:szCs w:val="24"/>
        </w:rPr>
        <w:t xml:space="preserve">2</w:t>
      </w:r>
      <w:r>
        <w:rPr>
          <w:rFonts w:hint="eastAsia" w:ascii="宋体" w:hAnsi="宋体"/>
          <w:color w:val="ff0000"/>
          <w:sz w:val="24"/>
          <w:szCs w:val="24"/>
          <w:lang w:val="en-US" w:eastAsia="zh-CN"/>
        </w:rPr>
        <w:t xml:space="preserve">5</w:t>
      </w:r>
      <w:r>
        <w:rPr>
          <w:rFonts w:hint="eastAsia" w:ascii="宋体" w:hAnsi="宋体"/>
          <w:color w:val="ff0000"/>
          <w:sz w:val="24"/>
          <w:szCs w:val="24"/>
        </w:rPr>
        <w:t xml:space="preserve">.1.10.</w:t>
      </w:r>
      <w:r>
        <w:rPr>
          <w:rFonts w:hint="eastAsia" w:ascii="宋体" w:hAnsi="宋体"/>
          <w:color w:val="ff0000"/>
          <w:sz w:val="24"/>
          <w:szCs w:val="24"/>
          <w:lang w:val="en-US" w:eastAsia="zh-CN"/>
        </w:rPr>
        <w:t xml:space="preserve">4</w:t>
      </w:r>
      <w:r>
        <w:rPr>
          <w:rFonts w:hint="eastAsia" w:ascii="宋体" w:hAnsi="宋体"/>
          <w:color w:val="ff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1246"/>
        <w:ind w:firstLine="482"/>
        <w:spacing w:before="145" w:after="145" w:line="400" w:lineRule="exact"/>
        <w:rPr>
          <w:rFonts w:hint="eastAsia"/>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
    </w:p>
    <w:p>
      <w:pPr>
        <w:pStyle w:val="1247"/>
        <w:ind w:firstLine="600"/>
        <w:spacing w:before="0" w:after="0" w:line="400" w:lineRule="exact"/>
        <w:rPr>
          <w:rFonts w:hint="eastAsia" w:ascii="黑体" w:hAnsi="宋体" w:cs="Times New Roman"/>
          <w:b w:val="0"/>
          <w:color w:val="000000"/>
          <w:sz w:val="30"/>
          <w:szCs w:val="30"/>
        </w:rPr>
      </w:pPr>
      <w:r/>
      <w:bookmarkStart w:id="165" w:name="_Toc513029238"/>
      <w:r/>
      <w:bookmarkStart w:id="166" w:name="_Toc20823310"/>
      <w:r/>
      <w:bookmarkStart w:id="167" w:name="_Toc16938554"/>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中心将在“江苏政府采购网</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扬州市政府采购网</w:t>
      </w:r>
      <w:r>
        <w:rPr>
          <w:rFonts w:hint="eastAsia" w:ascii="宋体" w:hAnsi="宋体"/>
          <w:color w:val="000000"/>
          <w:sz w:val="24"/>
          <w:szCs w:val="24"/>
        </w:rPr>
        <w:t xml:space="preserve">”发布中标公告，公告期限为1个工作日。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.5.4不同投标人的投标文件异常一致或者投标报价呈规律性差异。</w:t>
      </w:r>
      <w:r/>
    </w:p>
    <w:p>
      <w:pPr>
        <w:pStyle w:val="1247"/>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.4条款的规定向</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中心或采购人提出质疑。上述应知其权益受到损害之日，是指：</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 xml:space="preserve">交易</w:t>
      </w:r>
      <w:r>
        <w:rPr>
          <w:rFonts w:hint="eastAsia" w:hAnsi="宋体" w:cs="宋体"/>
          <w:color w:val="000000"/>
          <w:sz w:val="24"/>
          <w:szCs w:val="24"/>
        </w:rPr>
        <w:t xml:space="preserve">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lang w:val="en-US" w:eastAsia="zh-CN"/>
        </w:rPr>
        <w:t xml:space="preserve">招标文件中</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lang w:val="en-US" w:eastAsia="zh-CN"/>
        </w:rPr>
        <w:t xml:space="preserve">及资格审查结果</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lang w:val="en-US" w:eastAsia="zh-CN"/>
        </w:rPr>
        <w:t xml:space="preserve">交易</w:t>
      </w:r>
      <w:r>
        <w:rPr>
          <w:rFonts w:ascii="宋体" w:hAnsi="宋体"/>
          <w:color w:val="000000"/>
          <w:sz w:val="24"/>
          <w:szCs w:val="24"/>
        </w:rPr>
        <w:t xml:space="preserve">中心提出，由</w:t>
      </w:r>
      <w:r>
        <w:rPr>
          <w:rFonts w:hint="eastAsia" w:ascii="宋体" w:hAnsi="宋体"/>
          <w:color w:val="000000"/>
          <w:sz w:val="24"/>
          <w:szCs w:val="24"/>
          <w:lang w:val="en-US" w:eastAsia="zh-CN"/>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中心只接收以纸质原件形式送达的质疑,建议供应商尽量通过邮寄方式提交质疑（采购人和</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中心不接受无快递运单号的快递）。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rPr>
        <w:t xml:space="preserve">27.5.5供应商组成联合体参加投标，联合体中任何一方或多方未按要求签字、</w:t>
      </w:r>
      <w:r>
        <w:rPr>
          <w:rFonts w:hint="eastAsia" w:ascii="宋体" w:hAnsi="宋体"/>
          <w:color w:val="000000"/>
          <w:sz w:val="24"/>
          <w:szCs w:val="24"/>
          <w:highlight w:val="none"/>
        </w:rPr>
        <w:t xml:space="preserve">盖章、加盖公章的质疑。</w:t>
      </w:r>
      <w:r/>
    </w:p>
    <w:p>
      <w:pPr>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pStyle w:val="1247"/>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246"/>
        <w:spacing w:before="145" w:after="145" w:line="400" w:lineRule="exact"/>
        <w:rPr>
          <w:rFonts w:hint="eastAsia"/>
          <w:color w:val="000000"/>
        </w:rPr>
      </w:pPr>
      <w:r/>
      <w:bookmarkStart w:id="169" w:name="_Toc120614220"/>
      <w:r/>
      <w:bookmarkStart w:id="170" w:name="_Toc16938552"/>
      <w:r/>
      <w:bookmarkStart w:id="171" w:name="_Toc20823308"/>
      <w:r/>
      <w:bookmarkStart w:id="172" w:name="_Toc513029236"/>
      <w:r>
        <w:rPr>
          <w:rFonts w:hint="eastAsia"/>
          <w:color w:val="000000"/>
        </w:rPr>
        <w:t xml:space="preserve">七、授予合同</w:t>
      </w:r>
      <w:bookmarkEnd w:id="169"/>
      <w:r/>
      <w:bookmarkEnd w:id="170"/>
      <w:r/>
      <w:bookmarkEnd w:id="171"/>
      <w:r/>
      <w:bookmarkEnd w:id="172"/>
      <w:r/>
      <w:r/>
    </w:p>
    <w:p>
      <w:pPr>
        <w:pStyle w:val="1247"/>
        <w:ind w:firstLine="600"/>
        <w:spacing w:before="0" w:after="0" w:line="400" w:lineRule="exact"/>
        <w:rPr>
          <w:rFonts w:hint="eastAsia" w:ascii="黑体" w:hAnsi="宋体" w:cs="Times New Roman"/>
          <w:b w:val="0"/>
          <w:color w:val="000000"/>
          <w:sz w:val="30"/>
          <w:szCs w:val="30"/>
        </w:rPr>
      </w:pPr>
      <w:r/>
      <w:bookmarkStart w:id="173" w:name="_Toc16938553"/>
      <w:r/>
      <w:bookmarkStart w:id="174" w:name="_Toc20823309"/>
      <w:r/>
      <w:bookmarkStart w:id="175" w:name="_Toc513029237"/>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3"/>
      <w:r/>
      <w:bookmarkEnd w:id="174"/>
      <w:r/>
      <w:bookmarkEnd w:id="175"/>
      <w:r/>
      <w:r/>
    </w:p>
    <w:p>
      <w:pPr>
        <w:pStyle w:val="1247"/>
        <w:ind w:firstLine="600"/>
        <w:spacing w:before="0" w:after="0" w:line="400" w:lineRule="exact"/>
        <w:rPr>
          <w:rFonts w:ascii="黑体" w:hAnsi="宋体" w:cs="Times New Roman"/>
          <w:b w:val="0"/>
          <w:color w:val="000000"/>
          <w:sz w:val="30"/>
          <w:szCs w:val="30"/>
        </w:rPr>
      </w:pPr>
      <w:r/>
      <w:bookmarkStart w:id="176" w:name="_Toc479757207"/>
      <w:r/>
      <w:bookmarkStart w:id="177" w:name="_Toc16938558"/>
      <w:r/>
      <w:bookmarkStart w:id="178" w:name="_Toc513029242"/>
      <w:r/>
      <w:bookmarkStart w:id="179" w:name="_Toc20823314"/>
      <w:r/>
      <w:bookmarkStart w:id="180" w:name="_Toc120614221"/>
      <w:r>
        <w:rPr>
          <w:rFonts w:hint="eastAsia" w:ascii="黑体" w:hAnsi="宋体" w:cs="Times New Roman"/>
          <w:b w:val="0"/>
          <w:color w:val="000000"/>
          <w:sz w:val="30"/>
          <w:szCs w:val="30"/>
        </w:rPr>
        <w:t xml:space="preserve">3</w:t>
      </w:r>
      <w:r>
        <w:rPr>
          <w:rFonts w:hint="eastAsia" w:ascii="黑体" w:hAnsi="宋体" w:cs="Times New Roman"/>
          <w:b w:val="0"/>
          <w:color w:val="000000"/>
          <w:sz w:val="30"/>
          <w:szCs w:val="30"/>
          <w:lang w:val="en-US" w:eastAsia="zh-CN"/>
        </w:rPr>
        <w:t xml:space="preserve">0</w:t>
      </w:r>
      <w:r>
        <w:rPr>
          <w:rFonts w:hint="eastAsia" w:ascii="黑体" w:hAnsi="宋体" w:cs="Times New Roman"/>
          <w:b w:val="0"/>
          <w:color w:val="000000"/>
          <w:sz w:val="30"/>
          <w:szCs w:val="30"/>
        </w:rPr>
        <w:t xml:space="preserve">、政府采购履约资金扶持政策</w:t>
      </w:r>
      <w:r/>
    </w:p>
    <w:p>
      <w:pPr>
        <w:pStyle w:val="1245"/>
        <w:spacing w:line="400" w:lineRule="exact"/>
        <w:rPr>
          <w:rFonts w:hint="eastAsia"/>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1245"/>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r>
        <w:rPr>
          <w:rFonts w:ascii="黑体" w:eastAsia="黑体"/>
          <w:bCs/>
          <w:color w:val="000000"/>
          <w:sz w:val="44"/>
        </w:rPr>
        <w:br w:type="page" w:clear="all"/>
      </w:r>
      <w:r/>
    </w:p>
    <w:p>
      <w:pPr>
        <w:pStyle w:val="1243"/>
        <w:rPr>
          <w:rFonts w:hint="eastAsia"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p>
    <w:p>
      <w:pPr>
        <w:pStyle w:val="1087"/>
        <w:ind w:left="0" w:right="0"/>
        <w:jc w:val="both"/>
        <w:keepLines w:val="0"/>
        <w:keepNext w:val="0"/>
        <w:spacing w:before="0" w:beforeAutospacing="0" w:after="0" w:afterAutospacing="0" w:line="0" w:lineRule="atLeast"/>
        <w:widowControl w:val="off"/>
        <w:rPr>
          <w:rFonts w:hint="eastAsia" w:ascii="宋体" w:hAnsi="宋体" w:eastAsia="宋体" w:cs="Courier New"/>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bookmarkStart w:id="181" w:name="_Toc513029243"/>
      <w:r/>
      <w:bookmarkStart w:id="182" w:name="_Toc16938559"/>
      <w:r/>
      <w:bookmarkStart w:id="183" w:name="_Toc20823315"/>
      <w:r/>
      <w:r/>
    </w:p>
    <w:p>
      <w:pPr>
        <w:pStyle w:val="1087"/>
        <w:ind w:left="0" w:right="0"/>
        <w:jc w:val="both"/>
        <w:keepLines w:val="0"/>
        <w:keepNext w:val="0"/>
        <w:spacing w:before="0" w:beforeAutospacing="0" w:after="0" w:afterAutospacing="0" w:line="0" w:lineRule="atLeast"/>
        <w:widowControl w:val="off"/>
        <w:rPr>
          <w:rFonts w:hint="eastAsia" w:ascii="宋体" w:hAnsi="宋体"/>
          <w:b/>
          <w:color w:val="000000"/>
          <w:sz w:val="3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Courier New"/>
          <w:color w:val="000000"/>
          <w:sz w:val="24"/>
          <w:szCs w:val="24"/>
          <w:lang w:val="en-US" w:eastAsia="zh-CN" w:bidi="ar-SA"/>
        </w:rPr>
        <w:t xml:space="preserve">以下为中标后签定本项目合同的通用条款，中标供应商不得提出实质性的修改。</w:t>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1280"/>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280"/>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1280"/>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lang w:val="en-US" w:eastAsia="zh-CN"/>
        </w:rPr>
        <w:t xml:space="preserve">扬州市公共资源交易中心仪征分中心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1280"/>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280"/>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280"/>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1280"/>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1280"/>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1280"/>
        <w:spacing w:before="120" w:after="120"/>
        <w:rPr>
          <w:rFonts w:hAnsi="宋体"/>
          <w:color w:val="000000"/>
          <w:sz w:val="24"/>
          <w:szCs w:val="24"/>
        </w:rPr>
      </w:pPr>
      <w:r>
        <w:rPr>
          <w:rFonts w:hint="eastAsia" w:hAnsi="宋体"/>
          <w:color w:val="000000"/>
          <w:sz w:val="24"/>
          <w:szCs w:val="24"/>
        </w:rPr>
        <w:t xml:space="preserve">1.5 履行地点：</w:t>
      </w:r>
      <w:r/>
    </w:p>
    <w:p>
      <w:pPr>
        <w:pStyle w:val="12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280"/>
        <w:spacing w:before="120" w:after="120"/>
        <w:rPr>
          <w:rFonts w:hAnsi="宋体"/>
          <w:b/>
          <w:color w:val="000000"/>
          <w:sz w:val="24"/>
          <w:szCs w:val="24"/>
        </w:rPr>
      </w:pPr>
      <w:r>
        <w:rPr>
          <w:rFonts w:hAnsi="宋体"/>
          <w:b/>
          <w:color w:val="000000"/>
          <w:sz w:val="24"/>
          <w:szCs w:val="24"/>
        </w:rPr>
        <w:t xml:space="preserve">二、合同金额</w:t>
      </w:r>
      <w:r/>
    </w:p>
    <w:p>
      <w:pPr>
        <w:pStyle w:val="1280"/>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280"/>
        <w:spacing w:before="120" w:after="120"/>
        <w:rPr>
          <w:rFonts w:hAnsi="宋体"/>
          <w:b/>
          <w:color w:val="000000"/>
          <w:sz w:val="24"/>
          <w:szCs w:val="24"/>
        </w:rPr>
      </w:pPr>
      <w:r>
        <w:rPr>
          <w:rFonts w:hAnsi="宋体"/>
          <w:b/>
          <w:color w:val="000000"/>
          <w:sz w:val="24"/>
          <w:szCs w:val="24"/>
        </w:rPr>
        <w:t xml:space="preserve">三、技术资料</w:t>
      </w:r>
      <w:r/>
    </w:p>
    <w:p>
      <w:pPr>
        <w:pStyle w:val="1280"/>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280"/>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280"/>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1280"/>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280"/>
        <w:spacing w:before="120" w:after="120"/>
        <w:rPr>
          <w:rFonts w:hAnsi="宋体"/>
          <w:color w:val="000000"/>
          <w:sz w:val="24"/>
          <w:szCs w:val="24"/>
          <w:u w:val="single"/>
        </w:rPr>
      </w:pPr>
      <w:r>
        <w:rPr>
          <w:rFonts w:hAnsi="宋体"/>
          <w:b/>
          <w:color w:val="000000"/>
          <w:sz w:val="24"/>
          <w:szCs w:val="24"/>
        </w:rPr>
        <w:t xml:space="preserve">五、产权担保</w:t>
      </w:r>
      <w:r/>
    </w:p>
    <w:p>
      <w:pPr>
        <w:pStyle w:val="1280"/>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1280"/>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1280"/>
        <w:ind w:left="408" w:hanging="408"/>
        <w:spacing w:before="120" w:after="120"/>
        <w:rPr>
          <w:rFonts w:hint="default" w:hAnsi="宋体"/>
          <w:b w:val="0"/>
          <w:bCs w:val="0"/>
          <w:color w:val="000000" w:themeColor="text1"/>
          <w:sz w:val="24"/>
          <w:szCs w:val="24"/>
        </w:rPr>
      </w:pPr>
      <w:r>
        <w:rPr>
          <w:rFonts w:hAnsi="宋体"/>
          <w:color w:val="000000"/>
          <w:sz w:val="24"/>
          <w:szCs w:val="24"/>
        </w:rPr>
        <w:t xml:space="preserve">6.1 乙方交纳人民币</w:t>
      </w:r>
      <w:r>
        <w:rPr>
          <w:rFonts w:hint="eastAsia" w:hAnsi="宋体"/>
          <w:b w:val="0"/>
          <w:bCs w:val="0"/>
          <w:color w:val="000000" w:themeColor="text1"/>
          <w:sz w:val="24"/>
          <w:szCs w:val="24"/>
          <w:u w:val="single"/>
          <w:lang w:val="en-US" w:eastAsia="zh-CN"/>
        </w:rPr>
        <w:t xml:space="preserve"> </w:t>
      </w:r>
      <w:r>
        <w:rPr>
          <w:rFonts w:hint="eastAsia" w:hAnsi="宋体"/>
          <w:b w:val="0"/>
          <w:bCs w:val="0"/>
          <w:color w:val="000000" w:themeColor="text1"/>
          <w:sz w:val="24"/>
          <w:szCs w:val="24"/>
          <w:u w:val="single"/>
          <w:lang w:val="en-US" w:eastAsia="zh-CN"/>
        </w:rPr>
        <w:t xml:space="preserve"> 零 </w:t>
      </w:r>
      <w:r>
        <w:rPr>
          <w:rFonts w:hint="eastAsia" w:hAnsi="宋体"/>
          <w:b w:val="0"/>
          <w:bCs w:val="0"/>
          <w:color w:val="000000" w:themeColor="text1"/>
          <w:sz w:val="24"/>
          <w:szCs w:val="24"/>
          <w:u w:val="single"/>
          <w:lang w:val="en-US" w:eastAsia="zh-CN"/>
        </w:rPr>
        <w:t xml:space="preserve"> </w:t>
      </w:r>
      <w:r>
        <w:rPr>
          <w:rFonts w:hAnsi="宋体"/>
          <w:b w:val="0"/>
          <w:bCs w:val="0"/>
          <w:color w:val="000000" w:themeColor="text1"/>
          <w:sz w:val="24"/>
          <w:szCs w:val="24"/>
          <w:u w:val="none"/>
        </w:rPr>
        <w:t xml:space="preserve">元</w:t>
      </w:r>
      <w:r>
        <w:rPr>
          <w:rFonts w:hAnsi="宋体"/>
          <w:b w:val="0"/>
          <w:bCs w:val="0"/>
          <w:color w:val="000000" w:themeColor="text1"/>
          <w:sz w:val="24"/>
          <w:szCs w:val="24"/>
        </w:rPr>
        <w:t xml:space="preserve">作为本合同的履约保证金。</w:t>
      </w:r>
      <w:r>
        <w:rPr>
          <w:rFonts w:hint="eastAsia" w:hAnsi="宋体"/>
          <w:b w:val="0"/>
          <w:bCs w:val="0"/>
          <w:color w:val="000000" w:themeColor="text1"/>
          <w:sz w:val="24"/>
          <w:szCs w:val="24"/>
        </w:rPr>
        <w:t xml:space="preserve">（不得超过合同金额的10%）</w:t>
      </w:r>
      <w:r>
        <w:rPr>
          <w:b w:val="0"/>
          <w:bCs w:val="0"/>
          <w:color w:val="000000" w:themeColor="text1"/>
        </w:rPr>
      </w:r>
      <w:r/>
    </w:p>
    <w:p>
      <w:pPr>
        <w:pStyle w:val="1280"/>
        <w:ind w:left="408" w:hanging="408"/>
        <w:spacing w:before="120" w:after="120"/>
        <w:rPr>
          <w:rFonts w:hint="eastAsia" w:hAnsi="宋体"/>
          <w:b w:val="0"/>
          <w:bCs w:val="0"/>
          <w:color w:val="000000" w:themeColor="text1"/>
          <w:sz w:val="24"/>
          <w:szCs w:val="24"/>
        </w:rPr>
      </w:pPr>
      <w:r>
        <w:rPr>
          <w:rFonts w:hint="eastAsia" w:hAnsi="宋体"/>
          <w:b w:val="0"/>
          <w:bCs w:val="0"/>
          <w:color w:val="000000" w:themeColor="text1"/>
          <w:sz w:val="24"/>
          <w:szCs w:val="24"/>
        </w:rPr>
        <w:t xml:space="preserve">6.2合同履行结束后，甲方应及时退还交纳的履约保证金。</w:t>
      </w:r>
      <w:r>
        <w:rPr>
          <w:b w:val="0"/>
          <w:bCs w:val="0"/>
          <w:color w:val="000000" w:themeColor="text1"/>
        </w:rPr>
      </w:r>
      <w:r/>
    </w:p>
    <w:p>
      <w:pPr>
        <w:pStyle w:val="1280"/>
        <w:ind w:left="408" w:hanging="408"/>
        <w:spacing w:before="120" w:after="120"/>
        <w:rPr>
          <w:rFonts w:hint="eastAsia" w:hAnsi="宋体"/>
          <w:b w:val="0"/>
          <w:bCs w:val="0"/>
          <w:color w:val="000000" w:themeColor="text1"/>
          <w:sz w:val="24"/>
          <w:szCs w:val="24"/>
        </w:rPr>
      </w:pPr>
      <w:r>
        <w:rPr>
          <w:rFonts w:hint="eastAsia" w:hAnsi="宋体"/>
          <w:b w:val="0"/>
          <w:bCs w:val="0"/>
          <w:color w:val="000000" w:themeColor="text1"/>
          <w:sz w:val="24"/>
          <w:szCs w:val="24"/>
        </w:rPr>
        <w:t xml:space="preserve">6.2.1履约保证金退还方式：</w:t>
      </w:r>
      <w:r>
        <w:rPr>
          <w:rFonts w:hint="eastAsia" w:hAnsi="宋体"/>
          <w:b w:val="0"/>
          <w:bCs w:val="0"/>
          <w:color w:val="000000" w:themeColor="text1"/>
          <w:sz w:val="24"/>
          <w:szCs w:val="24"/>
          <w:lang w:val="en-US" w:eastAsia="zh-CN"/>
        </w:rPr>
        <w:t xml:space="preserve">无</w:t>
      </w:r>
      <w:r>
        <w:rPr>
          <w:b w:val="0"/>
          <w:bCs w:val="0"/>
          <w:color w:val="000000" w:themeColor="text1"/>
        </w:rPr>
      </w:r>
      <w:r/>
    </w:p>
    <w:p>
      <w:pPr>
        <w:pStyle w:val="1280"/>
        <w:ind w:left="408" w:hanging="408"/>
        <w:spacing w:before="120" w:after="120"/>
        <w:rPr>
          <w:rFonts w:hint="default" w:hAnsi="宋体"/>
          <w:b w:val="0"/>
          <w:bCs w:val="0"/>
          <w:color w:val="000000" w:themeColor="text1"/>
          <w:sz w:val="24"/>
          <w:szCs w:val="24"/>
        </w:rPr>
      </w:pPr>
      <w:r>
        <w:rPr>
          <w:rFonts w:hint="eastAsia" w:hAnsi="宋体"/>
          <w:b w:val="0"/>
          <w:bCs w:val="0"/>
          <w:color w:val="000000" w:themeColor="text1"/>
          <w:sz w:val="24"/>
          <w:szCs w:val="24"/>
        </w:rPr>
        <w:t xml:space="preserve">6.2.2履约保证金退还时间：</w:t>
      </w:r>
      <w:r>
        <w:rPr>
          <w:rFonts w:hint="eastAsia" w:hAnsi="宋体"/>
          <w:b w:val="0"/>
          <w:bCs w:val="0"/>
          <w:color w:val="000000" w:themeColor="text1"/>
          <w:sz w:val="24"/>
          <w:szCs w:val="24"/>
          <w:lang w:val="en-US" w:eastAsia="zh-CN"/>
        </w:rPr>
        <w:t xml:space="preserve">无</w:t>
      </w:r>
      <w:r>
        <w:rPr>
          <w:b w:val="0"/>
          <w:bCs w:val="0"/>
          <w:color w:val="000000" w:themeColor="text1"/>
        </w:rPr>
      </w:r>
      <w:r/>
    </w:p>
    <w:p>
      <w:pPr>
        <w:pStyle w:val="1280"/>
        <w:ind w:left="408" w:hanging="408"/>
        <w:spacing w:before="120" w:after="120"/>
        <w:rPr>
          <w:rFonts w:hint="eastAsia" w:hAnsi="宋体"/>
          <w:b w:val="0"/>
          <w:bCs w:val="0"/>
          <w:color w:val="000000" w:themeColor="text1"/>
          <w:sz w:val="24"/>
          <w:szCs w:val="24"/>
        </w:rPr>
      </w:pPr>
      <w:r>
        <w:rPr>
          <w:rFonts w:hint="eastAsia" w:hAnsi="宋体"/>
          <w:b w:val="0"/>
          <w:bCs w:val="0"/>
          <w:color w:val="000000" w:themeColor="text1"/>
          <w:sz w:val="24"/>
          <w:szCs w:val="24"/>
        </w:rPr>
        <w:t xml:space="preserve">6.2.3履约保证金退还条件：</w:t>
      </w:r>
      <w:r>
        <w:rPr>
          <w:rFonts w:hint="eastAsia" w:hAnsi="宋体"/>
          <w:b w:val="0"/>
          <w:bCs w:val="0"/>
          <w:color w:val="000000" w:themeColor="text1"/>
          <w:sz w:val="24"/>
          <w:szCs w:val="24"/>
          <w:lang w:val="en-US" w:eastAsia="zh-CN"/>
        </w:rPr>
        <w:t xml:space="preserve">无</w:t>
      </w:r>
      <w:r>
        <w:rPr>
          <w:b w:val="0"/>
          <w:bCs w:val="0"/>
          <w:color w:val="000000" w:themeColor="text1"/>
        </w:rPr>
      </w:r>
      <w:r/>
    </w:p>
    <w:p>
      <w:pPr>
        <w:pStyle w:val="1280"/>
        <w:ind w:left="408" w:hanging="408"/>
        <w:spacing w:before="120" w:after="120"/>
        <w:rPr>
          <w:rFonts w:hint="eastAsia" w:hAnsi="宋体"/>
          <w:b w:val="0"/>
          <w:bCs w:val="0"/>
          <w:color w:val="000000" w:themeColor="text1"/>
          <w:sz w:val="24"/>
          <w:szCs w:val="24"/>
        </w:rPr>
      </w:pPr>
      <w:r>
        <w:rPr>
          <w:rFonts w:hint="eastAsia" w:hAnsi="宋体"/>
          <w:b w:val="0"/>
          <w:bCs w:val="0"/>
          <w:color w:val="000000" w:themeColor="text1"/>
          <w:sz w:val="24"/>
          <w:szCs w:val="24"/>
        </w:rPr>
        <w:t xml:space="preserve">6.2.4履约保证金不予退还的情形：</w:t>
      </w:r>
      <w:r>
        <w:rPr>
          <w:rFonts w:hint="eastAsia" w:hAnsi="宋体"/>
          <w:b w:val="0"/>
          <w:bCs w:val="0"/>
          <w:color w:val="000000" w:themeColor="text1"/>
          <w:sz w:val="24"/>
          <w:szCs w:val="24"/>
          <w:lang w:val="en-US" w:eastAsia="zh-CN"/>
        </w:rPr>
        <w:t xml:space="preserve">无</w:t>
      </w:r>
      <w:r>
        <w:rPr>
          <w:b w:val="0"/>
          <w:bCs w:val="0"/>
          <w:color w:val="000000" w:themeColor="text1"/>
        </w:rPr>
      </w:r>
      <w:r/>
    </w:p>
    <w:p>
      <w:pPr>
        <w:pStyle w:val="1280"/>
        <w:ind w:left="408" w:hanging="408"/>
        <w:spacing w:before="120" w:after="120"/>
        <w:rPr>
          <w:rFonts w:hint="eastAsia" w:hAnsi="宋体"/>
          <w:b w:val="0"/>
          <w:bCs w:val="0"/>
          <w:color w:val="000000" w:themeColor="text1"/>
          <w:sz w:val="24"/>
          <w:szCs w:val="24"/>
        </w:rPr>
      </w:pPr>
      <w:r>
        <w:rPr>
          <w:rFonts w:hint="eastAsia" w:hAnsi="宋体"/>
          <w:b w:val="0"/>
          <w:bCs w:val="0"/>
          <w:color w:val="000000" w:themeColor="text1"/>
          <w:sz w:val="24"/>
          <w:szCs w:val="24"/>
          <w:lang w:val="en-US" w:eastAsia="zh-CN"/>
        </w:rPr>
        <w:t xml:space="preserve">6.2.5履约保证金逾期退还的违约责任：</w:t>
      </w:r>
      <w:r>
        <w:rPr>
          <w:rFonts w:hint="eastAsia" w:hAnsi="宋体"/>
          <w:b w:val="0"/>
          <w:bCs w:val="0"/>
          <w:color w:val="000000" w:themeColor="text1"/>
          <w:sz w:val="24"/>
          <w:szCs w:val="24"/>
          <w:lang w:val="en-US" w:eastAsia="zh-CN"/>
        </w:rPr>
        <w:t xml:space="preserve">无</w:t>
      </w:r>
      <w:r>
        <w:rPr>
          <w:b w:val="0"/>
          <w:bCs w:val="0"/>
          <w:color w:val="000000" w:themeColor="text1"/>
        </w:rPr>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1280"/>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1280"/>
        <w:spacing w:before="120" w:after="120"/>
        <w:rPr>
          <w:rFonts w:hint="eastAsia" w:hAnsi="宋体" w:eastAsia="宋体"/>
          <w:sz w:val="24"/>
          <w:szCs w:val="24"/>
          <w:u w:val="single"/>
          <w:lang w:val="en-US" w:eastAsia="zh-CN"/>
        </w:rPr>
      </w:pPr>
      <w:r>
        <w:rPr>
          <w:rFonts w:hint="eastAsia" w:hAnsi="宋体"/>
          <w:sz w:val="24"/>
          <w:szCs w:val="24"/>
          <w:u w:val="single"/>
        </w:rPr>
        <w:t xml:space="preserve">8.1.1 预付款支付时间：合同签订后，乙方向甲方开具发票，甲方自收到发票之日(乙方开票日期)起10个工作日内支付合同总价30%的预付款</w:t>
      </w:r>
      <w:r>
        <w:rPr>
          <w:rFonts w:hint="eastAsia" w:hAnsi="宋体"/>
          <w:sz w:val="24"/>
          <w:szCs w:val="24"/>
          <w:u w:val="single"/>
          <w:lang w:eastAsia="zh-CN"/>
        </w:rPr>
        <w:t xml:space="preserve">。</w:t>
      </w:r>
      <w:r/>
    </w:p>
    <w:p>
      <w:pPr>
        <w:pStyle w:val="1280"/>
        <w:spacing w:before="120" w:after="120"/>
        <w:rPr>
          <w:rFonts w:hint="eastAsia" w:hAnsi="宋体"/>
          <w:sz w:val="24"/>
          <w:szCs w:val="24"/>
          <w:u w:val="single"/>
        </w:rPr>
      </w:pPr>
      <w:r>
        <w:rPr>
          <w:rFonts w:hint="eastAsia" w:hAnsi="宋体"/>
          <w:sz w:val="24"/>
          <w:szCs w:val="24"/>
          <w:u w:val="single"/>
        </w:rPr>
        <w:t xml:space="preserve">8.1.2 尾款支付时间：剩余合同总价的70%，甲乙双方按三个月为一个周期结算服务费用，每周期结束后，乙方向甲方开具发票，甲方自收到发票之日(乙方开票日期)起10个工作日内支付。</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28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1280"/>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p>
    <w:p>
      <w:pPr>
        <w:pStyle w:val="1280"/>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280"/>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1280"/>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1280"/>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280"/>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28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1280"/>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1280"/>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1280"/>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1280"/>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128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1280"/>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12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12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128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1280"/>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128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12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2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280"/>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280"/>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1280"/>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280"/>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280"/>
        <w:ind w:firstLine="240"/>
        <w:spacing w:before="120" w:after="120" w:line="0" w:lineRule="atLeast"/>
        <w:rPr>
          <w:rFonts w:hint="eastAsia"/>
          <w:color w:val="000000"/>
        </w:rPr>
      </w:pPr>
      <w:r>
        <w:rPr>
          <w:rFonts w:hint="eastAsia" w:hAnsi="宋体"/>
          <w:color w:val="000000"/>
          <w:sz w:val="24"/>
          <w:szCs w:val="24"/>
        </w:rPr>
        <w:t xml:space="preserve">联系电话：                    联系电话：          </w:t>
      </w:r>
      <w:r/>
    </w:p>
    <w:p>
      <w:pPr>
        <w:pStyle w:val="1280"/>
        <w:jc w:val="center"/>
        <w:spacing w:before="120" w:after="120" w:line="0" w:lineRule="atLeast"/>
        <w:rPr>
          <w:color w:val="000000"/>
        </w:rPr>
      </w:pPr>
      <w:r>
        <w:rPr>
          <w:rFonts w:hint="eastAsia"/>
          <w:color w:val="000000"/>
        </w:rPr>
        <w:t xml:space="preserve">                                         </w:t>
      </w:r>
      <w:r/>
    </w:p>
    <w:p>
      <w:pPr>
        <w:pStyle w:val="1280"/>
        <w:jc w:val="right"/>
        <w:spacing w:before="120" w:after="120" w:line="0" w:lineRule="atLeast"/>
        <w:rPr>
          <w:color w:val="000000"/>
          <w:sz w:val="24"/>
          <w:szCs w:val="24"/>
        </w:rPr>
      </w:pPr>
      <w:r>
        <w:rPr>
          <w:rFonts w:hint="eastAsia"/>
          <w:color w:val="000000"/>
          <w:sz w:val="24"/>
          <w:szCs w:val="24"/>
        </w:rPr>
        <w:t xml:space="preserve"> </w:t>
      </w:r>
      <w:r/>
    </w:p>
    <w:p>
      <w:pPr>
        <w:pStyle w:val="1280"/>
        <w:jc w:val="center"/>
        <w:spacing w:before="120" w:after="120" w:line="0" w:lineRule="atLeast"/>
        <w:rPr>
          <w:rFonts w:hint="eastAsia"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62564139"/>
      <w:r/>
      <w:bookmarkStart w:id="190" w:name="_Toc479757211"/>
      <w:r>
        <w:rPr>
          <w:rFonts w:ascii="黑体" w:eastAsia="黑体"/>
          <w:bCs/>
          <w:color w:val="000000"/>
          <w:sz w:val="44"/>
        </w:rPr>
        <w:br w:type="page" w:clear="all"/>
      </w:r>
      <w:bookmarkEnd w:id="185"/>
      <w:r/>
      <w:bookmarkEnd w:id="186"/>
      <w:r/>
      <w:bookmarkEnd w:id="187"/>
      <w:r/>
      <w:bookmarkEnd w:id="188"/>
      <w:r/>
      <w:bookmarkStart w:id="191" w:name="_Toc49090575"/>
      <w:r/>
      <w:bookmarkStart w:id="192" w:name="_Toc26554093"/>
      <w:r/>
      <w:bookmarkStart w:id="193" w:name="_Toc120614281"/>
      <w:r>
        <w:rPr>
          <w:rFonts w:hint="eastAsia" w:ascii="黑体" w:eastAsia="黑体"/>
          <w:bCs/>
          <w:color w:val="000000"/>
          <w:sz w:val="44"/>
        </w:rPr>
        <w:t xml:space="preserve">第四章 采购需求</w:t>
      </w:r>
      <w:r/>
    </w:p>
    <w:p>
      <w:pPr>
        <w:numPr>
          <w:ilvl w:val="0"/>
          <w:numId w:val="0"/>
        </w:numPr>
        <w:ind w:left="495" w:hanging="495"/>
        <w:jc w:val="both"/>
        <w:spacing w:line="0" w:lineRule="atLeast"/>
        <w:rPr>
          <w:rFonts w:ascii="宋体" w:hAnsi="宋体"/>
          <w:color w:val="000000"/>
          <w:sz w:val="24"/>
          <w:szCs w:val="24"/>
        </w:rPr>
      </w:pPr>
      <w:r>
        <w:rPr>
          <w:rFonts w:hint="default" w:ascii="宋体" w:hAnsi="宋体"/>
          <w:b/>
          <w:bCs w:val="0"/>
          <w:color w:val="000000"/>
          <w:sz w:val="24"/>
          <w:szCs w:val="24"/>
          <w:lang w:val="en-US" w:eastAsia="zh-CN" w:bidi="ar-SA"/>
        </w:rPr>
        <w:t xml:space="preserve">一、</w:t>
      </w:r>
      <w:r>
        <w:rPr>
          <w:rFonts w:hint="eastAsia" w:ascii="宋体" w:hAnsi="宋体"/>
          <w:b/>
          <w:bCs w:val="0"/>
          <w:color w:val="000000"/>
          <w:sz w:val="24"/>
          <w:szCs w:val="24"/>
        </w:rPr>
        <w:t xml:space="preserve">项目属性:</w:t>
      </w:r>
      <w:r>
        <w:rPr>
          <w:rFonts w:hint="eastAsia" w:ascii="宋体" w:hAnsi="宋体"/>
          <w:b/>
          <w:bCs w:val="0"/>
          <w:color w:val="000000"/>
          <w:sz w:val="24"/>
          <w:szCs w:val="24"/>
          <w:lang w:val="en-US" w:eastAsia="zh-CN"/>
        </w:rPr>
        <w:t xml:space="preserve">包1至包4为服务</w:t>
      </w:r>
      <w:r>
        <w:rPr>
          <w:rFonts w:hint="eastAsia" w:ascii="宋体" w:hAnsi="宋体"/>
          <w:b/>
          <w:bCs w:val="0"/>
          <w:color w:val="000000"/>
          <w:sz w:val="24"/>
          <w:szCs w:val="24"/>
        </w:rPr>
        <w:t xml:space="preserve">类项目</w:t>
      </w:r>
      <w:r/>
    </w:p>
    <w:p>
      <w:pPr>
        <w:ind w:firstLine="482"/>
        <w:keepLines w:val="0"/>
        <w:keepNext w:val="0"/>
        <w:pageBreakBefore w:val="0"/>
        <w:spacing w:line="240" w:lineRule="auto"/>
        <w:widowControl w:val="off"/>
        <w:rPr>
          <w:rFonts w:ascii="Times New Roman" w:hAnsi="Times New Roman"/>
          <w:bCs/>
          <w:iCs/>
          <w:sz w:val="24"/>
          <w:szCs w:val="24"/>
          <w:u w:val="single"/>
        </w:rPr>
      </w:pPr>
      <w:r>
        <w:rPr>
          <w:rFonts w:hint="eastAsia" w:ascii="Times New Roman" w:hAnsi="Times New Roman"/>
          <w:bCs/>
          <w:iCs/>
          <w:sz w:val="24"/>
          <w:szCs w:val="24"/>
        </w:rPr>
        <w:t xml:space="preserve">1</w:t>
      </w:r>
      <w:r>
        <w:rPr>
          <w:rFonts w:ascii="Times New Roman" w:hAnsi="Times New Roman"/>
          <w:bCs/>
          <w:iCs/>
          <w:sz w:val="24"/>
          <w:szCs w:val="24"/>
        </w:rPr>
        <w:t xml:space="preserve">. </w:t>
      </w:r>
      <w:r>
        <w:rPr>
          <w:rFonts w:hint="eastAsia" w:ascii="Times New Roman" w:hAnsi="Times New Roman"/>
          <w:bCs/>
          <w:iCs/>
          <w:sz w:val="24"/>
          <w:szCs w:val="24"/>
        </w:rPr>
        <w:t xml:space="preserve">如本项目采购产品被财政部、国家发改委、生态环境部等列入“节能产品</w:t>
      </w:r>
      <w:r>
        <w:rPr>
          <w:rFonts w:hint="eastAsia"/>
          <w:bCs/>
          <w:iCs/>
          <w:sz w:val="24"/>
          <w:szCs w:val="24"/>
          <w:lang w:val="en-US" w:eastAsia="zh-CN"/>
        </w:rPr>
        <w:t xml:space="preserve">政府采购</w:t>
      </w:r>
      <w:r>
        <w:rPr>
          <w:rFonts w:hint="eastAsia" w:ascii="Times New Roman" w:hAnsi="Times New Roman"/>
          <w:bCs/>
          <w:iCs/>
          <w:sz w:val="24"/>
          <w:szCs w:val="24"/>
        </w:rPr>
        <w:t xml:space="preserve">品目清单”强制采购范围，投标文件中必须提供国家确定的认证机构出具的、处于有效期之内的该节能产品认证证书。</w:t>
      </w:r>
      <w:r>
        <w:rPr>
          <w:rFonts w:hint="eastAsia" w:ascii="Times New Roman" w:hAnsi="Times New Roman"/>
          <w:bCs/>
          <w:iCs/>
          <w:sz w:val="24"/>
          <w:szCs w:val="24"/>
          <w:highlight w:val="none"/>
        </w:rPr>
        <w:t xml:space="preserve">本项目强制节能产品有：</w:t>
      </w:r>
      <w:r>
        <w:rPr>
          <w:rFonts w:hint="eastAsia" w:ascii="Times New Roman" w:hAnsi="Times New Roman"/>
          <w:bCs/>
          <w:iCs/>
          <w:sz w:val="24"/>
          <w:szCs w:val="24"/>
          <w:u w:val="single"/>
        </w:rPr>
        <w:t xml:space="preserve"> </w:t>
      </w:r>
      <w:r>
        <w:rPr>
          <w:rFonts w:ascii="Times New Roman" w:hAnsi="Times New Roman"/>
          <w:bCs/>
          <w:iCs/>
          <w:sz w:val="24"/>
          <w:szCs w:val="24"/>
          <w:u w:val="single"/>
        </w:rPr>
        <w:t xml:space="preserve"> </w:t>
      </w:r>
      <w:r>
        <w:rPr>
          <w:rFonts w:hint="eastAsia"/>
          <w:bCs/>
          <w:iCs/>
          <w:sz w:val="24"/>
          <w:szCs w:val="24"/>
          <w:u w:val="single"/>
          <w:lang w:val="en-US" w:eastAsia="zh-CN"/>
        </w:rPr>
        <w:t xml:space="preserve">无</w:t>
      </w:r>
      <w:r>
        <w:rPr>
          <w:rFonts w:ascii="Times New Roman" w:hAnsi="Times New Roman"/>
          <w:bCs/>
          <w:iCs/>
          <w:sz w:val="24"/>
          <w:szCs w:val="24"/>
          <w:u w:val="single"/>
        </w:rPr>
        <w:t xml:space="preserve">   </w:t>
      </w:r>
      <w:r>
        <w:rPr>
          <w:rFonts w:hint="eastAsia" w:ascii="Times New Roman" w:hAnsi="Times New Roman"/>
          <w:bCs/>
          <w:iCs/>
          <w:sz w:val="24"/>
          <w:szCs w:val="24"/>
          <w:u w:val="none"/>
          <w:lang w:eastAsia="zh-CN"/>
        </w:rPr>
        <w:t xml:space="preserve">。</w:t>
      </w:r>
      <w:r/>
    </w:p>
    <w:p>
      <w:pPr>
        <w:ind w:firstLine="482"/>
        <w:keepLines w:val="0"/>
        <w:keepNext w:val="0"/>
        <w:pageBreakBefore w:val="0"/>
        <w:spacing w:line="240" w:lineRule="auto"/>
        <w:widowControl w:val="off"/>
        <w:rPr>
          <w:bCs/>
          <w:iCs/>
          <w:sz w:val="24"/>
          <w:szCs w:val="24"/>
        </w:rPr>
      </w:pPr>
      <w:r>
        <w:rPr>
          <w:rFonts w:ascii="Times New Roman" w:hAnsi="Times New Roman"/>
          <w:bCs/>
          <w:iCs/>
          <w:sz w:val="24"/>
          <w:szCs w:val="24"/>
        </w:rPr>
        <w:t xml:space="preserve">2.</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10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4867"/>
        <w:gridCol w:w="3211"/>
      </w:tblGrid>
      <w:tr>
        <w:trPr>
          <w:cantSplit/>
          <w:jc w:val="center"/>
        </w:trPr>
        <w:tc>
          <w:tcPr>
            <w:tcW w:w="1091"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color w:val="000000"/>
                <w:sz w:val="24"/>
                <w:szCs w:val="24"/>
                <w:lang w:val="en-US" w:eastAsia="zh-CN"/>
              </w:rPr>
              <w:t xml:space="preserve">采购包号</w:t>
            </w:r>
            <w:r/>
          </w:p>
        </w:tc>
        <w:tc>
          <w:tcPr>
            <w:tcW w:w="4867"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3211"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p>
        </w:tc>
      </w:tr>
      <w:tr>
        <w:trPr>
          <w:cantSplit/>
          <w:jc w:val="center"/>
          <w:trHeight w:val="622"/>
        </w:trPr>
        <w:tc>
          <w:tcPr>
            <w:tcW w:w="1091" w:type="dxa"/>
            <w:vAlign w:val="center"/>
            <w:textDirection w:val="lrTb"/>
            <w:noWrap w:val="false"/>
          </w:tcPr>
          <w:p>
            <w:pPr>
              <w:jc w:val="center"/>
              <w:rPr>
                <w:rFonts w:ascii="宋体" w:hAnsi="宋体"/>
                <w:sz w:val="22"/>
                <w:szCs w:val="22"/>
              </w:rPr>
            </w:pPr>
            <w:r>
              <w:rPr>
                <w:rFonts w:ascii="宋体" w:hAnsi="宋体"/>
                <w:color w:val="000000"/>
                <w:sz w:val="24"/>
                <w:szCs w:val="24"/>
              </w:rPr>
              <w:t xml:space="preserve">1</w:t>
            </w:r>
            <w:r/>
          </w:p>
        </w:tc>
        <w:tc>
          <w:tcPr>
            <w:tcW w:w="4867" w:type="dxa"/>
            <w:vAlign w:val="center"/>
            <w:textDirection w:val="lrTb"/>
            <w:noWrap w:val="false"/>
          </w:tcPr>
          <w:p>
            <w:pPr>
              <w:jc w:val="left"/>
              <w:rPr>
                <w:rFonts w:ascii="宋体" w:hAnsi="宋体"/>
                <w:sz w:val="22"/>
                <w:szCs w:val="22"/>
              </w:rPr>
            </w:pPr>
            <w:r>
              <w:rPr>
                <w:rFonts w:hint="eastAsia" w:ascii="宋体" w:hAnsi="宋体"/>
                <w:color w:val="000000"/>
                <w:sz w:val="24"/>
                <w:szCs w:val="24"/>
              </w:rPr>
              <w:t xml:space="preserve">包1：互联网出口带宽和数据转发服务</w:t>
            </w:r>
            <w:r/>
          </w:p>
        </w:tc>
        <w:tc>
          <w:tcPr>
            <w:tcW w:w="3211" w:type="dxa"/>
            <w:vAlign w:val="center"/>
            <w:textDirection w:val="lrTb"/>
            <w:noWrap w:val="false"/>
          </w:tcPr>
          <w:p>
            <w:pPr>
              <w:jc w:val="center"/>
              <w:rPr>
                <w:rFonts w:ascii="宋体" w:hAnsi="宋体"/>
                <w:sz w:val="22"/>
                <w:szCs w:val="22"/>
              </w:rPr>
            </w:pPr>
            <w:r>
              <w:rPr>
                <w:rFonts w:hint="eastAsia" w:ascii="宋体" w:hAnsi="宋体"/>
                <w:sz w:val="24"/>
                <w:szCs w:val="24"/>
              </w:rPr>
              <w:t xml:space="preserve">信息传输业</w:t>
            </w:r>
            <w:r/>
          </w:p>
        </w:tc>
      </w:tr>
      <w:tr>
        <w:trPr>
          <w:cantSplit/>
          <w:jc w:val="center"/>
          <w:trHeight w:val="622"/>
        </w:trPr>
        <w:tc>
          <w:tcPr>
            <w:tcW w:w="1091" w:type="dxa"/>
            <w:vAlign w:val="center"/>
            <w:textDirection w:val="lrTb"/>
            <w:noWrap w:val="false"/>
          </w:tcPr>
          <w:p>
            <w:pPr>
              <w:jc w:val="center"/>
              <w:rPr>
                <w:rFonts w:ascii="宋体" w:hAnsi="宋体"/>
                <w:sz w:val="22"/>
                <w:szCs w:val="22"/>
              </w:rPr>
            </w:pPr>
            <w:r>
              <w:rPr>
                <w:rFonts w:ascii="宋体" w:hAnsi="宋体"/>
                <w:color w:val="000000"/>
                <w:sz w:val="24"/>
                <w:szCs w:val="24"/>
              </w:rPr>
              <w:t xml:space="preserve">2</w:t>
            </w:r>
            <w:r/>
          </w:p>
        </w:tc>
        <w:tc>
          <w:tcPr>
            <w:tcW w:w="4867" w:type="dxa"/>
            <w:vAlign w:val="center"/>
            <w:textDirection w:val="lrTb"/>
            <w:noWrap w:val="false"/>
          </w:tcPr>
          <w:p>
            <w:pPr>
              <w:jc w:val="left"/>
              <w:rPr>
                <w:rFonts w:ascii="宋体" w:hAnsi="宋体"/>
                <w:sz w:val="22"/>
                <w:szCs w:val="22"/>
              </w:rPr>
            </w:pPr>
            <w:r>
              <w:rPr>
                <w:rFonts w:hint="eastAsia" w:ascii="宋体" w:hAnsi="宋体"/>
                <w:color w:val="000000"/>
                <w:sz w:val="24"/>
                <w:szCs w:val="24"/>
              </w:rPr>
              <w:t xml:space="preserve">包2：互联网出口备用带宽和数据转发服务</w:t>
            </w:r>
            <w:r/>
          </w:p>
        </w:tc>
        <w:tc>
          <w:tcPr>
            <w:tcW w:w="3211" w:type="dxa"/>
            <w:vAlign w:val="center"/>
            <w:textDirection w:val="lrTb"/>
            <w:noWrap w:val="false"/>
          </w:tcPr>
          <w:p>
            <w:pPr>
              <w:jc w:val="center"/>
              <w:rPr>
                <w:rFonts w:ascii="宋体" w:hAnsi="宋体"/>
                <w:sz w:val="22"/>
                <w:szCs w:val="22"/>
              </w:rPr>
            </w:pPr>
            <w:r>
              <w:rPr>
                <w:rFonts w:hint="eastAsia" w:ascii="宋体" w:hAnsi="宋体"/>
                <w:sz w:val="24"/>
                <w:szCs w:val="24"/>
              </w:rPr>
              <w:t xml:space="preserve">信息传输业</w:t>
            </w:r>
            <w:r/>
          </w:p>
        </w:tc>
      </w:tr>
      <w:tr>
        <w:trPr>
          <w:cantSplit/>
          <w:jc w:val="center"/>
          <w:trHeight w:val="622"/>
        </w:trPr>
        <w:tc>
          <w:tcPr>
            <w:tcW w:w="1091" w:type="dxa"/>
            <w:vAlign w:val="center"/>
            <w:textDirection w:val="lrTb"/>
            <w:noWrap w:val="false"/>
          </w:tcPr>
          <w:p>
            <w:pPr>
              <w:jc w:val="center"/>
              <w:rPr>
                <w:rFonts w:ascii="宋体" w:hAnsi="宋体"/>
                <w:sz w:val="22"/>
                <w:szCs w:val="22"/>
              </w:rPr>
            </w:pPr>
            <w:r>
              <w:rPr>
                <w:rFonts w:ascii="宋体" w:hAnsi="宋体"/>
                <w:color w:val="000000"/>
                <w:sz w:val="24"/>
                <w:szCs w:val="24"/>
              </w:rPr>
              <w:t xml:space="preserve">3</w:t>
            </w:r>
            <w:r/>
          </w:p>
        </w:tc>
        <w:tc>
          <w:tcPr>
            <w:tcW w:w="4867" w:type="dxa"/>
            <w:vAlign w:val="top"/>
            <w:textDirection w:val="lrTb"/>
            <w:noWrap w:val="false"/>
          </w:tcPr>
          <w:p>
            <w:pPr>
              <w:jc w:val="left"/>
              <w:rPr>
                <w:rFonts w:ascii="宋体" w:hAnsi="宋体"/>
                <w:sz w:val="22"/>
                <w:szCs w:val="22"/>
              </w:rPr>
            </w:pPr>
            <w:r>
              <w:rPr>
                <w:rFonts w:hint="eastAsia" w:ascii="宋体" w:hAnsi="宋体"/>
                <w:color w:val="000000"/>
                <w:sz w:val="24"/>
                <w:szCs w:val="24"/>
              </w:rPr>
              <w:t xml:space="preserve">包3：横向部门备用线路</w:t>
            </w:r>
            <w:r>
              <w:rPr>
                <w:rFonts w:hint="eastAsia" w:ascii="宋体" w:hAnsi="宋体"/>
                <w:color w:val="000000" w:themeColor="text1"/>
                <w:sz w:val="24"/>
                <w:szCs w:val="24"/>
              </w:rPr>
              <w:t xml:space="preserve">和数据解</w:t>
            </w:r>
            <w:r>
              <w:rPr>
                <w:rFonts w:hint="eastAsia" w:ascii="宋体" w:hAnsi="宋体"/>
                <w:color w:val="000000"/>
                <w:sz w:val="24"/>
                <w:szCs w:val="24"/>
              </w:rPr>
              <w:t xml:space="preserve">包引流分发服务</w:t>
            </w:r>
            <w:r/>
          </w:p>
        </w:tc>
        <w:tc>
          <w:tcPr>
            <w:tcW w:w="3211" w:type="dxa"/>
            <w:vAlign w:val="center"/>
            <w:textDirection w:val="lrTb"/>
            <w:noWrap w:val="false"/>
          </w:tcPr>
          <w:p>
            <w:pPr>
              <w:jc w:val="center"/>
              <w:rPr>
                <w:rFonts w:ascii="宋体" w:hAnsi="宋体"/>
                <w:sz w:val="22"/>
                <w:szCs w:val="22"/>
              </w:rPr>
            </w:pPr>
            <w:r>
              <w:rPr>
                <w:rFonts w:hint="eastAsia" w:ascii="宋体" w:hAnsi="宋体"/>
                <w:sz w:val="24"/>
                <w:szCs w:val="24"/>
              </w:rPr>
              <w:t xml:space="preserve">信息传输业</w:t>
            </w:r>
            <w:r/>
          </w:p>
        </w:tc>
      </w:tr>
      <w:tr>
        <w:trPr>
          <w:cantSplit/>
          <w:jc w:val="center"/>
          <w:trHeight w:val="356"/>
        </w:trPr>
        <w:tc>
          <w:tcPr>
            <w:tcW w:w="1091" w:type="dxa"/>
            <w:vAlign w:val="center"/>
            <w:textDirection w:val="lrTb"/>
            <w:noWrap w:val="false"/>
          </w:tcPr>
          <w:p>
            <w:pPr>
              <w:jc w:val="center"/>
              <w:rPr>
                <w:rFonts w:hint="eastAsia" w:ascii="宋体" w:hAnsi="宋体" w:eastAsia="宋体"/>
                <w:sz w:val="22"/>
                <w:szCs w:val="22"/>
                <w:lang w:val="en-US" w:eastAsia="zh-CN"/>
              </w:rPr>
            </w:pPr>
            <w:r>
              <w:rPr>
                <w:rFonts w:ascii="宋体" w:hAnsi="宋体"/>
                <w:color w:val="000000"/>
                <w:sz w:val="24"/>
                <w:szCs w:val="24"/>
              </w:rPr>
              <w:t xml:space="preserve">4</w:t>
            </w:r>
            <w:r/>
          </w:p>
        </w:tc>
        <w:tc>
          <w:tcPr>
            <w:tcW w:w="4867" w:type="dxa"/>
            <w:vAlign w:val="top"/>
            <w:textDirection w:val="lrTb"/>
            <w:noWrap w:val="false"/>
          </w:tcPr>
          <w:p>
            <w:pPr>
              <w:jc w:val="left"/>
              <w:rPr>
                <w:rFonts w:ascii="宋体" w:hAnsi="宋体"/>
                <w:sz w:val="22"/>
                <w:szCs w:val="22"/>
              </w:rPr>
            </w:pPr>
            <w:r>
              <w:rPr>
                <w:rFonts w:hint="eastAsia" w:ascii="宋体" w:hAnsi="宋体"/>
                <w:color w:val="000000"/>
                <w:sz w:val="24"/>
                <w:szCs w:val="24"/>
              </w:rPr>
              <w:t xml:space="preserve">包4：横向部门备用线路和安全流量监测服务</w:t>
            </w:r>
            <w:r/>
          </w:p>
        </w:tc>
        <w:tc>
          <w:tcPr>
            <w:tcW w:w="3211" w:type="dxa"/>
            <w:vAlign w:val="center"/>
            <w:textDirection w:val="lrTb"/>
            <w:noWrap w:val="false"/>
          </w:tcPr>
          <w:p>
            <w:pPr>
              <w:jc w:val="center"/>
              <w:rPr>
                <w:rFonts w:ascii="宋体" w:hAnsi="宋体"/>
                <w:sz w:val="22"/>
                <w:szCs w:val="22"/>
              </w:rPr>
            </w:pPr>
            <w:r>
              <w:rPr>
                <w:rFonts w:hint="eastAsia" w:ascii="宋体" w:hAnsi="宋体"/>
                <w:sz w:val="24"/>
                <w:szCs w:val="24"/>
              </w:rPr>
              <w:t xml:space="preserve">信息传输业</w:t>
            </w:r>
            <w:r/>
          </w:p>
        </w:tc>
      </w:tr>
    </w:tbl>
    <w:p>
      <w:pPr>
        <w:spacing w:line="0" w:lineRule="atLeast"/>
        <w:rPr>
          <w:rFonts w:ascii="宋体" w:hAnsi="宋体"/>
          <w:sz w:val="24"/>
          <w:szCs w:val="24"/>
          <w:highlight w:val="yellow"/>
        </w:rPr>
      </w:pPr>
      <w:r>
        <w:rPr>
          <w:rFonts w:ascii="宋体" w:hAnsi="宋体"/>
          <w:sz w:val="24"/>
          <w:szCs w:val="24"/>
          <w:highlight w:val="yellow"/>
        </w:rPr>
      </w:r>
      <w:r/>
    </w:p>
    <w:p>
      <w:pPr>
        <w:pStyle w:val="1087"/>
        <w:ind w:left="0" w:right="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二、项目建设主要内容：</w:t>
      </w:r>
      <w:r/>
    </w:p>
    <w:p>
      <w:pPr>
        <w:ind w:firstLine="480"/>
        <w:keepLines w:val="0"/>
        <w:keepNext w:val="0"/>
        <w:pageBreakBefore w:val="0"/>
        <w:widowControl w:val="off"/>
        <w:rPr>
          <w:rFonts w:ascii="宋体" w:hAnsi="宋体"/>
          <w:color w:val="000000"/>
          <w:sz w:val="24"/>
          <w:szCs w:val="24"/>
        </w:rPr>
      </w:pPr>
      <w:r>
        <w:rPr>
          <w:rFonts w:hint="eastAsia" w:ascii="宋体" w:hAnsi="宋体"/>
          <w:color w:val="000000"/>
          <w:sz w:val="24"/>
          <w:szCs w:val="24"/>
        </w:rPr>
        <w:t xml:space="preserve">根据《江苏省新一代电子政务外网建设指南》相关要求，结合仪征市电子政务外网实际，开展本地区新一代电子政务外网建设。新一代电子政务外网以“新型固网承载服务”为主要技术路线，充分利旧原政务网络设备，同时升级原政务网络安全服务，为仪征市各种政务应用提供可靠、高速、可控的网络环境，网络基本情况详见拓扑图。本次项目主要建设项目具体内容主要包含：</w:t>
      </w:r>
      <w:r/>
    </w:p>
    <w:p>
      <w:pPr>
        <w:pStyle w:val="1104"/>
        <w:numPr>
          <w:ilvl w:val="0"/>
          <w:numId w:val="5"/>
        </w:numPr>
        <w:contextualSpacing w:val="0"/>
        <w:ind w:left="420" w:firstLine="0"/>
        <w:jc w:val="both"/>
        <w:keepLines w:val="0"/>
        <w:keepNext w:val="0"/>
        <w:pageBreakBefore w:val="0"/>
        <w:spacing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仪征市电子政务外网互联网出口服务：根据仪征市电子政务外网现有终端数量测算购不低于2家互联网出口提供服务商，以满足仪征市各单位互联网出口扎口管理的要求。</w:t>
      </w:r>
      <w:r/>
    </w:p>
    <w:p>
      <w:pPr>
        <w:pStyle w:val="1104"/>
        <w:numPr>
          <w:ilvl w:val="0"/>
          <w:numId w:val="5"/>
        </w:numPr>
        <w:contextualSpacing w:val="0"/>
        <w:ind w:left="420" w:firstLine="0"/>
        <w:jc w:val="both"/>
        <w:keepLines w:val="0"/>
        <w:keepNext w:val="0"/>
        <w:pageBreakBefore w:val="0"/>
        <w:spacing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仪征市横向部门传输线路服务：根据仪征市横向部门的数量，使用裸光纤线路部门终端路由和机房汇聚路由互联互通。</w:t>
      </w:r>
      <w:r/>
    </w:p>
    <w:p>
      <w:pPr>
        <w:pStyle w:val="1104"/>
        <w:numPr>
          <w:ilvl w:val="0"/>
          <w:numId w:val="5"/>
        </w:numPr>
        <w:contextualSpacing w:val="0"/>
        <w:ind w:left="420" w:firstLine="0"/>
        <w:jc w:val="both"/>
        <w:keepLines w:val="0"/>
        <w:keepNext w:val="0"/>
        <w:pageBreakBefore w:val="0"/>
        <w:spacing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仪征市横向部门接入新一代电子政务外网数据转发服务：根据单位接入终端需求，提供相应性能的SRv6协议数据转发服务。</w:t>
      </w:r>
      <w:r/>
    </w:p>
    <w:p>
      <w:pPr>
        <w:pStyle w:val="1104"/>
        <w:numPr>
          <w:ilvl w:val="0"/>
          <w:numId w:val="5"/>
        </w:numPr>
        <w:contextualSpacing w:val="0"/>
        <w:ind w:left="420" w:firstLine="0"/>
        <w:jc w:val="both"/>
        <w:keepLines w:val="0"/>
        <w:keepNext w:val="0"/>
        <w:pageBreakBefore w:val="0"/>
        <w:spacing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电子政务外网多线路出口DNS解析，负载均衡服务：在有多家运营商互联网出口的情况下，根据所访问的服务器IP智能解析最优访问路径。</w:t>
      </w:r>
      <w:r/>
    </w:p>
    <w:p>
      <w:pPr>
        <w:pStyle w:val="1104"/>
        <w:numPr>
          <w:ilvl w:val="0"/>
          <w:numId w:val="5"/>
        </w:numPr>
        <w:contextualSpacing w:val="0"/>
        <w:ind w:left="420" w:firstLine="0"/>
        <w:jc w:val="both"/>
        <w:keepLines w:val="0"/>
        <w:keepNext w:val="0"/>
        <w:pageBreakBefore w:val="0"/>
        <w:spacing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新一代电子政务外网SRv6数据解包引流分发服务：通过技术手段，可将核心路由中SRv6传输协议数据流解包后，镜像引流分发至其他网络管理平台，以实现态势感知、行为管理、流量分析等功能。</w:t>
      </w:r>
      <w:r/>
    </w:p>
    <w:p>
      <w:pPr>
        <w:pStyle w:val="1104"/>
        <w:numPr>
          <w:ilvl w:val="0"/>
          <w:numId w:val="5"/>
        </w:numPr>
        <w:contextualSpacing w:val="0"/>
        <w:ind w:left="420" w:firstLine="0"/>
        <w:jc w:val="both"/>
        <w:keepLines w:val="0"/>
        <w:keepNext w:val="0"/>
        <w:pageBreakBefore w:val="0"/>
        <w:spacing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新一代电子政务外网安全监测平台：通过部署探针，汇聚政务外网安全设备日志、流量日志、资产信息等多源数据，并接入市级安全监测平台。</w:t>
      </w:r>
      <w:r/>
    </w:p>
    <w:p>
      <w:pPr>
        <w:pStyle w:val="1104"/>
        <w:numPr>
          <w:ilvl w:val="0"/>
          <w:numId w:val="5"/>
        </w:numPr>
        <w:contextualSpacing w:val="0"/>
        <w:ind w:left="420" w:firstLine="0"/>
        <w:jc w:val="both"/>
        <w:keepLines w:val="0"/>
        <w:keepNext w:val="0"/>
        <w:pageBreakBefore w:val="0"/>
        <w:spacing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无线VPN服务：用于电子政务外网仪征市城域网内无线VPN访问，用于调试、演示、会议等应急线路组建。</w:t>
      </w:r>
      <w:r/>
    </w:p>
    <w:p>
      <w:pPr>
        <w:pStyle w:val="1104"/>
        <w:numPr>
          <w:ilvl w:val="0"/>
          <w:numId w:val="0"/>
        </w:numPr>
        <w:contextualSpacing w:val="0"/>
        <w:jc w:val="both"/>
        <w:spacing w:line="360" w:lineRule="auto"/>
        <w:rPr>
          <w:rFonts w:ascii="宋体" w:hAnsi="宋体"/>
          <w:color w:val="000000"/>
          <w:sz w:val="24"/>
          <w:szCs w:val="24"/>
        </w:rPr>
      </w:pPr>
      <w:r>
        <w:rPr>
          <w:rFonts w:ascii="宋体" w:hAnsi="宋体"/>
          <w:color w:val="000000"/>
          <w:sz w:val="24"/>
          <w:szCs w:val="24"/>
        </w:rPr>
      </w:r>
      <w:r/>
    </w:p>
    <w:p>
      <w:pPr>
        <w:ind w:firstLine="2154"/>
        <w:jc w:val="both"/>
        <w:spacing w:line="360" w:lineRule="auto"/>
        <w:widowControl/>
        <w:rPr>
          <w:sz w:val="24"/>
          <w:szCs w:val="24"/>
        </w:rPr>
        <w:pBdr>
          <w:top w:val="none" w:color="000000" w:sz="0" w:space="0"/>
          <w:left w:val="none" w:color="000000" w:sz="0" w:space="0"/>
          <w:bottom w:val="none" w:color="000000" w:sz="0" w:space="0"/>
          <w:right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160020</wp:posOffset>
                </wp:positionH>
                <wp:positionV relativeFrom="paragraph">
                  <wp:posOffset>96520</wp:posOffset>
                </wp:positionV>
                <wp:extent cx="5400040" cy="7633970"/>
                <wp:effectExtent l="0" t="0" r="0" b="0"/>
                <wp:wrapTopAndBottom/>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400040" cy="7633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12.6pt;mso-position-horizontal:absolute;mso-position-vertical-relative:text;margin-top:7.6pt;mso-position-vertical:absolute;width:425.2pt;height:601.1pt;mso-wrap-distance-left:9.0pt;mso-wrap-distance-top:0.0pt;mso-wrap-distance-right:9.0pt;mso-wrap-distance-bottom:0.0pt;" stroked="f">
                <v:path textboxrect="0,0,0,0"/>
                <w10:wrap type="topAndBottom"/>
                <v:imagedata r:id="rId20" o:title=""/>
              </v:shape>
            </w:pict>
          </mc:Fallback>
        </mc:AlternateContent>
      </w:r>
      <w:r>
        <w:rPr>
          <w:rFonts w:hint="eastAsia"/>
          <w:b/>
          <w:sz w:val="24"/>
          <w:szCs w:val="24"/>
        </w:rPr>
        <w:t xml:space="preserve">上图为仪征市电子政务外网网络拓扑图</w:t>
      </w:r>
      <w:r/>
    </w:p>
    <w:p>
      <w:pPr>
        <w:pStyle w:val="1104"/>
        <w:numPr>
          <w:ilvl w:val="0"/>
          <w:numId w:val="0"/>
        </w:numPr>
        <w:contextualSpacing w:val="0"/>
        <w:jc w:val="both"/>
        <w:spacing w:line="360" w:lineRule="auto"/>
        <w:rPr>
          <w:rFonts w:ascii="宋体" w:hAnsi="宋体"/>
          <w:color w:val="000000"/>
          <w:sz w:val="24"/>
          <w:szCs w:val="24"/>
        </w:rPr>
      </w:pPr>
      <w:r>
        <w:rPr>
          <w:rFonts w:ascii="宋体" w:hAnsi="宋体"/>
          <w:color w:val="000000"/>
          <w:sz w:val="24"/>
          <w:szCs w:val="24"/>
        </w:rPr>
      </w:r>
      <w:r/>
    </w:p>
    <w:p>
      <w:pPr>
        <w:pStyle w:val="1104"/>
        <w:numPr>
          <w:ilvl w:val="0"/>
          <w:numId w:val="0"/>
        </w:numPr>
        <w:contextualSpacing w:val="0"/>
        <w:jc w:val="both"/>
        <w:spacing w:line="360" w:lineRule="auto"/>
        <w:rPr>
          <w:rFonts w:ascii="宋体" w:hAnsi="宋体"/>
          <w:color w:val="000000"/>
          <w:sz w:val="24"/>
          <w:szCs w:val="24"/>
        </w:rPr>
      </w:pPr>
      <w:r>
        <w:rPr>
          <w:rFonts w:ascii="宋体" w:hAnsi="宋体"/>
          <w:color w:val="000000"/>
          <w:sz w:val="24"/>
          <w:szCs w:val="24"/>
        </w:rPr>
      </w:r>
      <w:r/>
    </w:p>
    <w:p>
      <w:pPr>
        <w:pStyle w:val="1087"/>
        <w:jc w:val="both"/>
        <w:keepLines w:val="0"/>
        <w:keepNext w:val="0"/>
        <w:spacing w:before="0" w:beforeAutospacing="0" w:after="0" w:afterAutospacing="0" w:line="0" w:lineRule="atLeast"/>
        <w:widowControl w:val="off"/>
        <w:rPr>
          <w:rFonts w:hint="eastAsia" w:ascii="宋体" w:hAnsi="宋体" w:eastAsia="宋体" w:cs="宋体"/>
          <w:b/>
          <w:bCs/>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rPr>
      </w:r>
      <w:r/>
    </w:p>
    <w:p>
      <w:pPr>
        <w:pStyle w:val="1087"/>
        <w:numPr>
          <w:ilvl w:val="0"/>
          <w:numId w:val="6"/>
        </w:numPr>
        <w:jc w:val="both"/>
        <w:keepLines w:val="0"/>
        <w:keepNext w:val="0"/>
        <w:spacing w:before="0" w:beforeAutospacing="0" w:after="0" w:afterAutospacing="0" w:line="0" w:lineRule="atLeast"/>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采购服务需求参数</w:t>
      </w:r>
      <w:r/>
    </w:p>
    <w:p>
      <w:pPr>
        <w:keepLines/>
        <w:keepNext/>
        <w:pageBreakBefore w:val="0"/>
        <w:spacing w:before="181" w:after="541"/>
        <w:widowControl w:val="off"/>
        <w:rPr>
          <w:rFonts w:ascii="Arial" w:hAnsi="Arial" w:cs="Arial" w:eastAsiaTheme="minorEastAsia"/>
          <w:i/>
          <w:sz w:val="24"/>
          <w:szCs w:val="24"/>
          <w:u w:val="single"/>
        </w:rPr>
        <w:outlineLvl w:val="1"/>
      </w:pPr>
      <w:r>
        <w:rPr>
          <w:rFonts w:ascii="宋体" w:hAnsi="宋体" w:cs="宋体"/>
          <w:i/>
          <w:color w:val="000000"/>
          <w:sz w:val="24"/>
          <w:szCs w:val="24"/>
          <w:u w:val="single"/>
        </w:rPr>
        <w:t xml:space="preserve">投标人必须对技术要求和商务要求中加斜体下划线的实质性要求逐条做出响应，并按照招标文件要求提供证明材料，否则做无效投标处理。</w:t>
      </w:r>
      <w:r/>
    </w:p>
    <w:p>
      <w:pPr>
        <w:pStyle w:val="1087"/>
        <w:jc w:val="both"/>
        <w:keepLines w:val="0"/>
        <w:keepNext w:val="0"/>
        <w:pageBreakBefore w:val="0"/>
        <w:spacing w:before="0" w:beforeAutospacing="0" w:after="181" w:afterAutospacing="0" w:line="0" w:lineRule="atLeast"/>
        <w:widowControl w:val="off"/>
        <w:rPr>
          <w:rFonts w:ascii="Arial" w:hAnsi="Arial" w:eastAsia="Arial" w:cs="Arial"/>
          <w:sz w:val="24"/>
          <w:szCs w:val="24"/>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rPr>
          <w:rFonts w:hint="eastAsia" w:ascii="Arial" w:hAnsi="Arial" w:cs="Arial" w:eastAsiaTheme="minorEastAsia"/>
          <w:sz w:val="24"/>
          <w:szCs w:val="24"/>
        </w:rPr>
        <w:t xml:space="preserve">1、</w:t>
      </w:r>
      <w:r>
        <w:rPr>
          <w:rFonts w:ascii="Arial" w:hAnsi="Arial" w:eastAsia="Arial" w:cs="Arial"/>
          <w:color w:val="ff0000"/>
          <w:sz w:val="24"/>
          <w:szCs w:val="24"/>
        </w:rPr>
        <w:t xml:space="preserve">包</w:t>
      </w:r>
      <w:r>
        <w:rPr>
          <w:rFonts w:hint="eastAsia" w:ascii="宋体" w:hAnsi="宋体" w:cs="宋体"/>
          <w:color w:val="ff0000"/>
          <w:sz w:val="24"/>
          <w:szCs w:val="24"/>
        </w:rPr>
        <w:t xml:space="preserve">1</w:t>
      </w:r>
      <w:r>
        <w:rPr>
          <w:rFonts w:ascii="Arial" w:hAnsi="Arial" w:eastAsia="Arial" w:cs="Arial"/>
          <w:color w:val="ff0000"/>
          <w:sz w:val="24"/>
          <w:szCs w:val="24"/>
        </w:rPr>
        <w:t xml:space="preserve">：</w:t>
      </w:r>
      <w:r>
        <w:rPr>
          <w:rFonts w:hint="eastAsia" w:ascii="微软雅黑" w:hAnsi="微软雅黑" w:eastAsia="微软雅黑" w:cs="微软雅黑"/>
          <w:sz w:val="24"/>
          <w:szCs w:val="24"/>
        </w:rPr>
        <w:t xml:space="preserve">互联网出口带宽和数据转发服务</w:t>
      </w:r>
      <w:r/>
    </w:p>
    <w:p>
      <w:pPr>
        <w:keepLines/>
        <w:keepNext/>
        <w:pageBreakBefore w:val="0"/>
        <w:spacing w:before="181" w:after="200"/>
        <w:widowControl w:val="off"/>
        <w:rPr>
          <w:rFonts w:hAnsi="宋体" w:cs="Arial"/>
          <w:color w:val="000000"/>
          <w:sz w:val="24"/>
          <w:szCs w:val="24"/>
        </w:rPr>
        <w:outlineLvl w:val="2"/>
      </w:pPr>
      <w:r>
        <w:rPr>
          <w:rFonts w:hint="eastAsia" w:ascii="Arial" w:hAnsi="Arial" w:eastAsia="Arial" w:cs="Arial"/>
          <w:sz w:val="24"/>
          <w:szCs w:val="24"/>
        </w:rPr>
        <w:t xml:space="preserve">（</w:t>
      </w:r>
      <w:r>
        <w:rPr>
          <w:rFonts w:hint="eastAsia" w:ascii="Arial" w:hAnsi="Arial" w:cs="Arial" w:eastAsiaTheme="minorEastAsia"/>
          <w:sz w:val="24"/>
          <w:szCs w:val="24"/>
        </w:rPr>
        <w:t xml:space="preserve">1</w:t>
      </w:r>
      <w:r>
        <w:rPr>
          <w:rFonts w:hint="eastAsia" w:ascii="Arial" w:hAnsi="Arial" w:eastAsia="Arial" w:cs="Arial"/>
          <w:sz w:val="24"/>
          <w:szCs w:val="24"/>
        </w:rPr>
        <w:t xml:space="preserve">）清单及参数</w:t>
      </w:r>
      <w:r/>
    </w:p>
    <w:tbl>
      <w:tblPr>
        <w:tblStyle w:val="1069"/>
        <w:tblW w:w="90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9"/>
        <w:gridCol w:w="1245"/>
        <w:gridCol w:w="7398"/>
      </w:tblGrid>
      <w:tr>
        <w:trPr>
          <w:jc w:val="center"/>
          <w:trHeight w:val="2599"/>
        </w:trPr>
        <w:tc>
          <w:tcPr>
            <w:shd w:val="clear" w:color="auto" w:fill="auto"/>
            <w:tcW w:w="379" w:type="dxa"/>
            <w:vAlign w:val="center"/>
            <w:textDirection w:val="lrTb"/>
            <w:noWrap w:val="false"/>
          </w:tcPr>
          <w:p>
            <w:pPr>
              <w:jc w:val="both"/>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W w:w="1245" w:type="dxa"/>
            <w:vAlign w:val="center"/>
            <w:textDirection w:val="lrTb"/>
            <w:noWrap w:val="false"/>
          </w:tcPr>
          <w:p>
            <w:pPr>
              <w:jc w:val="center"/>
              <w:spacing w:before="120" w:after="120"/>
              <w:widowControl/>
              <w:rPr>
                <w:rFonts w:hint="eastAsia" w:ascii="宋体" w:hAnsi="宋体" w:cs="宋体"/>
                <w:bCs/>
                <w:color w:val="000000" w:themeColor="text1"/>
                <w:sz w:val="24"/>
                <w:szCs w:val="24"/>
                <w:lang w:bidi="ar"/>
              </w:rPr>
            </w:pPr>
            <w:r>
              <w:rPr>
                <w:rFonts w:hint="eastAsia" w:ascii="宋体" w:hAnsi="宋体" w:cs="宋体"/>
                <w:bCs/>
                <w:color w:val="000000" w:themeColor="text1"/>
                <w:sz w:val="24"/>
                <w:szCs w:val="24"/>
                <w:lang w:bidi="ar"/>
              </w:rPr>
              <w:t xml:space="preserve">互联网出口服务</w:t>
            </w:r>
            <w:r/>
          </w:p>
        </w:tc>
        <w:tc>
          <w:tcPr>
            <w:shd w:val="clear" w:color="auto" w:fill="auto"/>
            <w:tcW w:w="7398" w:type="dxa"/>
            <w:vAlign w:val="center"/>
            <w:textDirection w:val="lrTb"/>
            <w:noWrap w:val="false"/>
          </w:tcPr>
          <w:p>
            <w:pPr>
              <w:jc w:val="left"/>
              <w:widowControl/>
              <w:rPr>
                <w:rFonts w:ascii="宋体" w:hAnsi="宋体" w:cs="宋体"/>
                <w:i/>
                <w:color w:val="000000" w:themeColor="text1"/>
                <w:sz w:val="24"/>
                <w:szCs w:val="24"/>
                <w:u w:val="single"/>
              </w:rPr>
            </w:pPr>
            <w:r>
              <w:rPr>
                <w:rFonts w:hint="eastAsia" w:ascii="宋体" w:hAnsi="宋体" w:cs="宋体"/>
                <w:i/>
                <w:color w:val="000000"/>
                <w:sz w:val="24"/>
                <w:szCs w:val="24"/>
                <w:u w:val="single"/>
              </w:rPr>
              <w:t xml:space="preserve">1、提供≥8Gbps互联网总带宽，可以根据实际需求可分多条线路接入。</w:t>
            </w:r>
            <w:r>
              <w:rPr>
                <w:rFonts w:hint="eastAsia" w:ascii="宋体" w:hAnsi="宋体" w:cs="宋体"/>
                <w:i/>
                <w:color w:val="000000"/>
                <w:sz w:val="24"/>
                <w:szCs w:val="24"/>
              </w:rPr>
              <w:br/>
            </w:r>
            <w:r>
              <w:rPr>
                <w:rFonts w:hint="eastAsia" w:ascii="宋体" w:hAnsi="宋体" w:cs="宋体"/>
                <w:i/>
                <w:color w:val="000000" w:themeColor="text1"/>
                <w:sz w:val="24"/>
                <w:szCs w:val="24"/>
                <w:u w:val="single"/>
              </w:rPr>
              <w:t xml:space="preserve">2、提供</w:t>
            </w:r>
            <w:r>
              <w:rPr>
                <w:rFonts w:hint="eastAsia" w:ascii="宋体" w:hAnsi="宋体" w:cs="宋体"/>
                <w:i/>
                <w:color w:val="000000"/>
                <w:sz w:val="24"/>
                <w:szCs w:val="24"/>
                <w:u w:val="single"/>
              </w:rPr>
              <w:t xml:space="preserve">≥</w:t>
            </w:r>
            <w:r>
              <w:rPr>
                <w:rFonts w:hint="eastAsia" w:ascii="宋体" w:hAnsi="宋体" w:cs="宋体"/>
                <w:i/>
                <w:color w:val="000000" w:themeColor="text1"/>
                <w:sz w:val="24"/>
                <w:szCs w:val="24"/>
                <w:u w:val="single"/>
              </w:rPr>
              <w:t xml:space="preserve">96个公网IPv4地址、</w:t>
            </w:r>
            <w:r>
              <w:rPr>
                <w:rFonts w:hint="eastAsia" w:ascii="宋体" w:hAnsi="宋体" w:cs="宋体"/>
                <w:i/>
                <w:color w:val="000000"/>
                <w:sz w:val="24"/>
                <w:szCs w:val="24"/>
                <w:u w:val="single"/>
              </w:rPr>
              <w:t xml:space="preserve">≥</w:t>
            </w:r>
            <w:r>
              <w:rPr>
                <w:rFonts w:hint="eastAsia" w:ascii="宋体" w:hAnsi="宋体" w:cs="宋体"/>
                <w:i/>
                <w:color w:val="000000" w:themeColor="text1"/>
                <w:sz w:val="24"/>
                <w:szCs w:val="24"/>
                <w:u w:val="single"/>
              </w:rPr>
              <w:t xml:space="preserve">96个公网IPv6地址。</w:t>
            </w:r>
            <w:r>
              <w:rPr>
                <w:rFonts w:hint="eastAsia" w:ascii="宋体" w:hAnsi="宋体" w:cs="宋体"/>
                <w:b/>
                <w:bCs/>
                <w:i/>
                <w:color w:val="000000"/>
                <w:sz w:val="24"/>
                <w:szCs w:val="24"/>
                <w:u w:val="single"/>
              </w:rPr>
              <w:t xml:space="preserve">（提供承诺函扫描上传）</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3、投标人须提供7×24小时的监控和维护服务，在服务期内接到采购人的报修电话，投标人的技术服务人员须在30分钟内响应，并在1小时内赶到使用现场实施维修，2小时内修复故障，1天内提供书面故障检修报告。</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4、光纤布线接入要符合国家有关光纤布线规范。所有光纤引入机房交换机柜，并可直接连接到交换机光纤端口。光纤接入所需设备由投标人提供，不再另外收费。</w:t>
            </w:r>
            <w:r/>
          </w:p>
        </w:tc>
      </w:tr>
      <w:tr>
        <w:trPr>
          <w:jc w:val="center"/>
          <w:trHeight w:val="983"/>
        </w:trPr>
        <w:tc>
          <w:tcPr>
            <w:shd w:val="clear" w:color="auto" w:fill="auto"/>
            <w:tcW w:w="379" w:type="dxa"/>
            <w:vAlign w:val="center"/>
            <w:textDirection w:val="lrTb"/>
            <w:noWrap w:val="false"/>
          </w:tcPr>
          <w:p>
            <w:pPr>
              <w:jc w:val="both"/>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W w:w="1245" w:type="dxa"/>
            <w:vAlign w:val="center"/>
            <w:textDirection w:val="lrTb"/>
            <w:noWrap w:val="false"/>
          </w:tcPr>
          <w:p>
            <w:pPr>
              <w:jc w:val="center"/>
              <w:spacing w:before="120" w:after="120"/>
              <w:widowControl/>
              <w:rPr>
                <w:rFonts w:hint="eastAsia" w:ascii="宋体" w:hAnsi="宋体" w:cs="宋体"/>
                <w:bCs/>
                <w:color w:val="000000" w:themeColor="text1"/>
                <w:sz w:val="24"/>
                <w:szCs w:val="24"/>
                <w:lang w:bidi="ar"/>
              </w:rPr>
            </w:pPr>
            <w:r>
              <w:rPr>
                <w:rFonts w:hint="eastAsia" w:ascii="宋体" w:hAnsi="宋体" w:cs="宋体"/>
                <w:bCs/>
                <w:color w:val="000000" w:themeColor="text1"/>
                <w:sz w:val="24"/>
                <w:szCs w:val="24"/>
                <w:lang w:bidi="ar"/>
              </w:rPr>
              <w:t xml:space="preserve">横向部门常规流量数据转发服务</w:t>
            </w:r>
            <w:r/>
          </w:p>
        </w:tc>
        <w:tc>
          <w:tcPr>
            <w:shd w:val="clear" w:color="auto" w:fill="auto"/>
            <w:tcW w:w="7398" w:type="dxa"/>
            <w:vAlign w:val="center"/>
            <w:textDirection w:val="lrTb"/>
            <w:noWrap w:val="false"/>
          </w:tcPr>
          <w:p>
            <w:pPr>
              <w:jc w:val="left"/>
              <w:widowControl/>
              <w:rPr>
                <w:rFonts w:ascii="宋体" w:hAnsi="宋体" w:cs="宋体"/>
                <w:i/>
                <w:color w:val="000000" w:themeColor="text1"/>
                <w:sz w:val="24"/>
                <w:szCs w:val="24"/>
                <w:u w:val="single"/>
              </w:rPr>
            </w:pPr>
            <w:r>
              <w:rPr>
                <w:rFonts w:hint="eastAsia" w:ascii="宋体" w:hAnsi="宋体" w:cs="宋体"/>
                <w:color w:val="000000"/>
                <w:sz w:val="24"/>
                <w:szCs w:val="24"/>
              </w:rPr>
              <w:t xml:space="preserve">1、</w:t>
            </w:r>
            <w:r>
              <w:rPr>
                <w:rFonts w:hint="eastAsia" w:ascii="宋体" w:hAnsi="宋体" w:cs="宋体"/>
                <w:i/>
                <w:color w:val="000000"/>
                <w:sz w:val="24"/>
                <w:szCs w:val="24"/>
                <w:u w:val="single"/>
              </w:rPr>
              <w:t xml:space="preserve">提供≥2</w:t>
            </w:r>
            <w:r>
              <w:rPr>
                <w:rFonts w:ascii="宋体" w:hAnsi="宋体" w:cs="宋体"/>
                <w:i/>
                <w:color w:val="000000"/>
                <w:sz w:val="24"/>
                <w:szCs w:val="24"/>
                <w:u w:val="single"/>
              </w:rPr>
              <w:t xml:space="preserve">5个节点数据转发服务。</w:t>
            </w:r>
            <w:r>
              <w:rPr>
                <w:rFonts w:hint="eastAsia" w:ascii="宋体" w:hAnsi="宋体" w:cs="宋体"/>
                <w:b/>
                <w:bCs/>
                <w:i/>
                <w:color w:val="000000"/>
                <w:sz w:val="24"/>
                <w:szCs w:val="24"/>
                <w:u w:val="single"/>
              </w:rPr>
              <w:t xml:space="preserve">（提供承诺函扫描上传）</w:t>
            </w:r>
            <w:r/>
          </w:p>
          <w:p>
            <w:pPr>
              <w:jc w:val="left"/>
              <w:widowControl/>
              <w:rPr>
                <w:rFonts w:hint="eastAsia" w:ascii="宋体" w:hAnsi="宋体" w:cs="宋体"/>
                <w:b/>
                <w:bCs/>
                <w:i/>
                <w:color w:val="000000"/>
                <w:sz w:val="24"/>
                <w:szCs w:val="24"/>
                <w:u w:val="single"/>
              </w:rPr>
            </w:pPr>
            <w:r>
              <w:rPr>
                <w:rFonts w:hint="eastAsia" w:ascii="宋体" w:hAnsi="宋体" w:cs="宋体"/>
                <w:color w:val="000000"/>
                <w:sz w:val="24"/>
                <w:szCs w:val="24"/>
              </w:rPr>
              <w:t xml:space="preserve">2、支持千兆速率数据传输，高效转发大容量数据，连接不同网络层级，支持 VLAN 等功能，保障高带宽场景下的稳定通信与网络性能。（投标人提供承诺函扫描上传）</w:t>
            </w:r>
            <w:r>
              <w:rPr>
                <w:rFonts w:hint="eastAsia" w:ascii="宋体" w:hAnsi="宋体" w:cs="宋体"/>
                <w:i/>
                <w:color w:val="000000"/>
                <w:sz w:val="24"/>
                <w:szCs w:val="24"/>
                <w:u w:val="single"/>
              </w:rPr>
              <w:br/>
            </w:r>
            <w:r>
              <w:rPr>
                <w:rFonts w:hint="eastAsia" w:ascii="宋体" w:hAnsi="宋体" w:cs="宋体"/>
                <w:color w:val="000000"/>
                <w:sz w:val="24"/>
                <w:szCs w:val="24"/>
              </w:rPr>
              <w:t xml:space="preserve">3、支持IPv4/IPv6，支持SRv6协议；支持随流逐包的性能检测技术，支持RIP、OSPF、IS-IS、BGP等路由协议。</w:t>
            </w:r>
            <w:r>
              <w:rPr>
                <w:rFonts w:hint="eastAsia" w:ascii="宋体" w:hAnsi="宋体" w:cs="宋体"/>
                <w:color w:val="000000"/>
                <w:sz w:val="24"/>
                <w:szCs w:val="24"/>
              </w:rPr>
              <w:br/>
            </w:r>
            <w:r>
              <w:rPr>
                <w:rFonts w:hint="eastAsia" w:ascii="宋体" w:hAnsi="宋体" w:cs="宋体"/>
                <w:color w:val="000000"/>
                <w:sz w:val="24"/>
                <w:szCs w:val="24"/>
              </w:rPr>
              <w:t xml:space="preserve">4、支持IPv6协议的MTU值≥2000。</w:t>
            </w:r>
            <w:r>
              <w:rPr>
                <w:rFonts w:hint="eastAsia" w:ascii="宋体" w:hAnsi="宋体" w:cs="宋体"/>
                <w:color w:val="000000"/>
                <w:sz w:val="24"/>
                <w:szCs w:val="24"/>
              </w:rPr>
              <w:br/>
            </w:r>
            <w:r>
              <w:rPr>
                <w:rFonts w:hint="eastAsia" w:ascii="宋体" w:hAnsi="宋体" w:cs="宋体"/>
                <w:color w:val="000000"/>
                <w:sz w:val="24"/>
                <w:szCs w:val="24"/>
              </w:rPr>
              <w:t xml:space="preserve">5、≥2个GE光口，≥4个GE电口。</w:t>
            </w:r>
            <w:r>
              <w:rPr>
                <w:rFonts w:hint="eastAsia" w:ascii="宋体" w:hAnsi="宋体" w:cs="宋体"/>
                <w:color w:val="000000"/>
                <w:sz w:val="24"/>
                <w:szCs w:val="24"/>
              </w:rPr>
              <w:br/>
            </w:r>
            <w:r>
              <w:rPr>
                <w:rFonts w:hint="eastAsia" w:ascii="宋体" w:hAnsi="宋体" w:cs="宋体"/>
                <w:color w:val="000000"/>
                <w:sz w:val="24"/>
                <w:szCs w:val="24"/>
              </w:rPr>
              <w:t xml:space="preserve">6、配置SRv6，RSVP-TE，MPLS-TE，VxLAN，L3VPN，EVPN，Telemetry、随流检测等授权。</w:t>
            </w:r>
            <w:r>
              <w:rPr>
                <w:rFonts w:hint="eastAsia" w:ascii="宋体" w:hAnsi="宋体" w:cs="宋体"/>
                <w:color w:val="000000"/>
                <w:sz w:val="24"/>
                <w:szCs w:val="24"/>
              </w:rPr>
              <w:br/>
            </w:r>
            <w:r>
              <w:rPr>
                <w:rFonts w:hint="eastAsia" w:ascii="宋体" w:hAnsi="宋体" w:cs="宋体"/>
                <w:color w:val="000000"/>
                <w:sz w:val="24"/>
                <w:szCs w:val="24"/>
              </w:rPr>
              <w:t xml:space="preserve">7、配置端口分片功能许可。</w:t>
            </w:r>
            <w:r>
              <w:rPr>
                <w:rFonts w:hint="eastAsia" w:ascii="宋体" w:hAnsi="宋体" w:cs="宋体"/>
                <w:color w:val="000000"/>
                <w:sz w:val="24"/>
                <w:szCs w:val="24"/>
              </w:rPr>
              <w:br/>
            </w:r>
            <w:r>
              <w:rPr>
                <w:rFonts w:hint="eastAsia" w:ascii="宋体" w:hAnsi="宋体" w:cs="宋体"/>
                <w:color w:val="000000"/>
                <w:sz w:val="24"/>
                <w:szCs w:val="24"/>
              </w:rPr>
              <w:t xml:space="preserve">8、配置网络控制器管控授权（含SRv6 Policy、IFIT功能、网络分片功能）。</w:t>
            </w:r>
            <w:r>
              <w:rPr>
                <w:rFonts w:hint="eastAsia" w:ascii="宋体" w:hAnsi="宋体" w:cs="宋体"/>
                <w:color w:val="000000"/>
                <w:sz w:val="24"/>
                <w:szCs w:val="24"/>
              </w:rPr>
              <w:br/>
            </w:r>
            <w:r>
              <w:rPr>
                <w:rFonts w:hint="eastAsia" w:ascii="宋体" w:hAnsi="宋体" w:cs="宋体"/>
                <w:color w:val="000000"/>
                <w:sz w:val="24"/>
                <w:szCs w:val="24"/>
              </w:rPr>
              <w:t xml:space="preserve">9、</w:t>
            </w:r>
            <w:r>
              <w:rPr>
                <w:rFonts w:hint="eastAsia" w:ascii="宋体" w:hAnsi="宋体" w:cs="宋体"/>
                <w:i/>
                <w:color w:val="000000"/>
                <w:sz w:val="24"/>
                <w:szCs w:val="24"/>
                <w:u w:val="single"/>
              </w:rPr>
              <w:t xml:space="preserve">提供数据转发服务的设备配备工作波长兼容1310nm/1550nm的1</w:t>
            </w:r>
            <w:r>
              <w:rPr>
                <w:rFonts w:ascii="宋体" w:hAnsi="宋体" w:cs="宋体"/>
                <w:i/>
                <w:color w:val="000000"/>
                <w:sz w:val="24"/>
                <w:szCs w:val="24"/>
                <w:u w:val="single"/>
              </w:rPr>
              <w:t xml:space="preserve">.25</w:t>
            </w:r>
            <w:r>
              <w:rPr>
                <w:rFonts w:hint="eastAsia" w:ascii="宋体" w:hAnsi="宋体" w:cs="宋体"/>
                <w:i/>
                <w:color w:val="000000"/>
                <w:sz w:val="24"/>
                <w:szCs w:val="24"/>
                <w:u w:val="single"/>
              </w:rPr>
              <w:t xml:space="preserve">G光模块，数量≥2个，传输距离≥1</w:t>
            </w:r>
            <w:r>
              <w:rPr>
                <w:rFonts w:ascii="宋体" w:hAnsi="宋体" w:cs="宋体"/>
                <w:i/>
                <w:color w:val="000000"/>
                <w:sz w:val="24"/>
                <w:szCs w:val="24"/>
                <w:u w:val="single"/>
              </w:rPr>
              <w:t xml:space="preserve">0KM</w:t>
            </w:r>
            <w:r>
              <w:rPr>
                <w:rFonts w:hint="eastAsia" w:ascii="宋体" w:hAnsi="宋体" w:cs="宋体"/>
                <w:i/>
                <w:color w:val="000000"/>
                <w:sz w:val="24"/>
                <w:szCs w:val="24"/>
                <w:u w:val="single"/>
              </w:rPr>
              <w:t xml:space="preserve">。</w:t>
            </w:r>
            <w:r>
              <w:rPr>
                <w:rFonts w:hint="eastAsia" w:ascii="宋体" w:hAnsi="宋体" w:cs="宋体"/>
                <w:b/>
                <w:bCs/>
                <w:i/>
                <w:color w:val="000000"/>
                <w:sz w:val="24"/>
                <w:szCs w:val="24"/>
                <w:u w:val="single"/>
              </w:rPr>
              <w:t xml:space="preserve">（提供承诺函扫描上传）</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0、</w:t>
            </w:r>
            <w:r>
              <w:rPr>
                <w:rFonts w:hint="eastAsia" w:ascii="宋体" w:hAnsi="宋体" w:cs="宋体"/>
                <w:color w:val="000000"/>
                <w:sz w:val="24"/>
                <w:szCs w:val="24"/>
              </w:rPr>
              <w:t xml:space="preserve">设备需满足：设备关键芯片（主控CPU芯片）采用国产化芯片。</w:t>
            </w:r>
            <w:r/>
          </w:p>
        </w:tc>
      </w:tr>
      <w:tr>
        <w:trPr>
          <w:jc w:val="center"/>
          <w:trHeight w:val="94"/>
        </w:trPr>
        <w:tc>
          <w:tcPr>
            <w:shd w:val="clear" w:color="auto" w:fill="auto"/>
            <w:tcW w:w="379" w:type="dxa"/>
            <w:vAlign w:val="center"/>
            <w:textDirection w:val="lrTb"/>
            <w:noWrap w:val="false"/>
          </w:tcPr>
          <w:p>
            <w:pPr>
              <w:jc w:val="both"/>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W w:w="1245" w:type="dxa"/>
            <w:vAlign w:val="center"/>
            <w:textDirection w:val="lrTb"/>
            <w:noWrap w:val="false"/>
          </w:tcPr>
          <w:p>
            <w:pPr>
              <w:jc w:val="center"/>
              <w:spacing w:before="120" w:after="120"/>
              <w:widowControl/>
              <w:rPr>
                <w:rFonts w:hint="eastAsia" w:ascii="宋体" w:hAnsi="宋体" w:cs="宋体"/>
                <w:bCs/>
                <w:color w:val="000000" w:themeColor="text1"/>
                <w:sz w:val="24"/>
                <w:szCs w:val="24"/>
                <w:lang w:bidi="ar"/>
              </w:rPr>
            </w:pPr>
            <w:r>
              <w:rPr>
                <w:rFonts w:hint="eastAsia" w:ascii="宋体" w:hAnsi="宋体" w:cs="宋体"/>
                <w:bCs/>
                <w:color w:val="000000" w:themeColor="text1"/>
                <w:sz w:val="24"/>
                <w:szCs w:val="24"/>
                <w:lang w:bidi="ar"/>
              </w:rPr>
              <w:t xml:space="preserve">互联网多线路出口DNS解析，负载均衡服务</w:t>
            </w:r>
            <w:r/>
          </w:p>
        </w:tc>
        <w:tc>
          <w:tcPr>
            <w:shd w:val="clear" w:color="auto" w:fill="auto"/>
            <w:tcW w:w="7398"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i/>
                <w:color w:val="000000"/>
                <w:sz w:val="24"/>
                <w:szCs w:val="24"/>
                <w:u w:val="single"/>
              </w:rPr>
              <w:t xml:space="preserve">1、实现政务网互联网出口和云中心业务平台多运营商线路间访问互联互通。</w:t>
            </w:r>
            <w:r>
              <w:rPr>
                <w:rFonts w:hint="eastAsia" w:ascii="宋体" w:hAnsi="宋体" w:cs="宋体"/>
                <w:b/>
                <w:bCs/>
                <w:i/>
                <w:color w:val="000000"/>
                <w:sz w:val="24"/>
                <w:szCs w:val="24"/>
                <w:u w:val="single"/>
              </w:rPr>
              <w:t xml:space="preserve">（提供承诺函扫描上传）</w:t>
            </w:r>
            <w:r>
              <w:rPr>
                <w:rFonts w:hint="eastAsia" w:ascii="宋体" w:hAnsi="宋体" w:cs="宋体"/>
                <w:b/>
                <w:bCs/>
                <w:i/>
                <w:color w:val="000000"/>
                <w:sz w:val="24"/>
                <w:szCs w:val="24"/>
                <w:u w:val="single"/>
              </w:rPr>
              <w:br/>
            </w:r>
            <w:r>
              <w:rPr>
                <w:rFonts w:hint="eastAsia" w:ascii="宋体" w:hAnsi="宋体" w:cs="宋体"/>
                <w:color w:val="000000"/>
                <w:sz w:val="24"/>
                <w:szCs w:val="24"/>
              </w:rPr>
              <w:t xml:space="preserve">2、优先使用优先级最高的线路、按运营商负载、带宽比例、平均分配以及</w:t>
            </w:r>
            <w:r>
              <w:rPr>
                <w:rFonts w:hint="eastAsia" w:ascii="宋体" w:hAnsi="宋体" w:cs="宋体"/>
                <w:color w:val="000000"/>
                <w:sz w:val="24"/>
                <w:szCs w:val="24"/>
              </w:rPr>
              <w:br/>
            </w:r>
            <w:r>
              <w:rPr>
                <w:rFonts w:hint="eastAsia" w:ascii="宋体" w:hAnsi="宋体" w:cs="宋体"/>
                <w:color w:val="000000"/>
                <w:sz w:val="24"/>
                <w:szCs w:val="24"/>
              </w:rPr>
              <w:t xml:space="preserve">3、禁用默认负载策略。</w:t>
            </w:r>
            <w:r>
              <w:rPr>
                <w:rFonts w:hint="eastAsia" w:ascii="宋体" w:hAnsi="宋体" w:cs="宋体"/>
                <w:color w:val="000000"/>
                <w:sz w:val="24"/>
                <w:szCs w:val="24"/>
              </w:rPr>
              <w:br/>
            </w:r>
            <w:r>
              <w:rPr>
                <w:rFonts w:hint="eastAsia" w:ascii="宋体" w:hAnsi="宋体" w:cs="宋体"/>
                <w:color w:val="000000"/>
                <w:sz w:val="24"/>
                <w:szCs w:val="24"/>
              </w:rPr>
              <w:t xml:space="preserve">4、根据所访问的服务器IP智能解析最优访问路径。</w:t>
            </w:r>
            <w:r>
              <w:rPr>
                <w:rFonts w:hint="eastAsia" w:ascii="宋体" w:hAnsi="宋体" w:cs="宋体"/>
                <w:color w:val="000000"/>
                <w:sz w:val="24"/>
                <w:szCs w:val="24"/>
              </w:rPr>
              <w:br/>
            </w:r>
            <w:r>
              <w:rPr>
                <w:rFonts w:hint="eastAsia" w:ascii="宋体" w:hAnsi="宋体" w:cs="宋体"/>
                <w:color w:val="000000"/>
                <w:sz w:val="24"/>
                <w:szCs w:val="24"/>
              </w:rPr>
              <w:t xml:space="preserve">5、支持智能应用级的负载均衡，负载策略可配置。</w:t>
            </w:r>
            <w:r/>
          </w:p>
        </w:tc>
      </w:tr>
      <w:tr>
        <w:trPr>
          <w:jc w:val="center"/>
          <w:trHeight w:val="810"/>
        </w:trPr>
        <w:tc>
          <w:tcPr>
            <w:shd w:val="clear" w:color="auto" w:fill="auto"/>
            <w:tcW w:w="379" w:type="dxa"/>
            <w:vAlign w:val="center"/>
            <w:textDirection w:val="lrTb"/>
            <w:noWrap w:val="false"/>
          </w:tcPr>
          <w:p>
            <w:pPr>
              <w:jc w:val="both"/>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W w:w="1245" w:type="dxa"/>
            <w:vAlign w:val="center"/>
            <w:textDirection w:val="lrTb"/>
            <w:noWrap w:val="false"/>
          </w:tcPr>
          <w:p>
            <w:pPr>
              <w:jc w:val="center"/>
              <w:keepLines w:val="0"/>
              <w:keepNext w:val="0"/>
              <w:pageBreakBefore w:val="0"/>
              <w:widowControl/>
              <w:rPr>
                <w:rFonts w:hint="eastAsia" w:ascii="宋体" w:hAnsi="宋体" w:cs="宋体"/>
                <w:bCs/>
                <w:color w:val="000000" w:themeColor="text1"/>
                <w:sz w:val="24"/>
                <w:szCs w:val="24"/>
                <w:lang w:bidi="ar"/>
              </w:rPr>
              <w:outlineLvl w:val="9"/>
            </w:pPr>
            <w:r>
              <w:rPr>
                <w:rFonts w:hint="eastAsia" w:ascii="宋体" w:hAnsi="宋体" w:cs="宋体"/>
                <w:bCs/>
                <w:color w:val="000000" w:themeColor="text1"/>
                <w:sz w:val="24"/>
                <w:szCs w:val="24"/>
                <w:lang w:bidi="ar"/>
              </w:rPr>
              <w:t xml:space="preserve">无线VPN服务</w:t>
            </w:r>
            <w:r/>
          </w:p>
        </w:tc>
        <w:tc>
          <w:tcPr>
            <w:shd w:val="clear" w:color="auto" w:fill="auto"/>
            <w:tcW w:w="7398" w:type="dxa"/>
            <w:vAlign w:val="center"/>
            <w:textDirection w:val="lrTb"/>
            <w:noWrap w:val="false"/>
          </w:tcPr>
          <w:p>
            <w:pPr>
              <w:jc w:val="left"/>
              <w:widowControl/>
              <w:rPr>
                <w:rFonts w:ascii="宋体" w:hAnsi="宋体" w:cs="宋体"/>
                <w:i/>
                <w:color w:val="000000"/>
                <w:sz w:val="24"/>
                <w:szCs w:val="24"/>
                <w:u w:val="single"/>
              </w:rPr>
            </w:pPr>
            <w:r>
              <w:rPr>
                <w:rFonts w:hint="eastAsia" w:ascii="宋体" w:hAnsi="宋体" w:cs="宋体"/>
                <w:i/>
                <w:color w:val="000000"/>
                <w:sz w:val="24"/>
                <w:szCs w:val="24"/>
                <w:u w:val="single"/>
              </w:rPr>
              <w:t xml:space="preserve">1、提供≥6个接入服务链路。（投标人提供承诺函扫描上传）</w:t>
            </w:r>
            <w:r/>
          </w:p>
          <w:p>
            <w:pPr>
              <w:jc w:val="left"/>
              <w:widowControl/>
              <w:rPr>
                <w:rFonts w:ascii="宋体" w:hAnsi="宋体" w:cs="宋体"/>
                <w:color w:val="000000"/>
                <w:sz w:val="24"/>
                <w:szCs w:val="24"/>
              </w:rPr>
            </w:pPr>
            <w:r>
              <w:rPr>
                <w:rFonts w:hint="eastAsia" w:ascii="宋体" w:hAnsi="宋体" w:cs="宋体"/>
                <w:i/>
                <w:color w:val="000000"/>
                <w:sz w:val="24"/>
                <w:szCs w:val="24"/>
                <w:u w:val="single"/>
              </w:rPr>
              <w:t xml:space="preserve">2、不限流量。</w:t>
            </w:r>
            <w:r>
              <w:rPr>
                <w:rFonts w:hint="eastAsia" w:ascii="宋体" w:hAnsi="宋体" w:cs="宋体"/>
                <w:b/>
                <w:bCs/>
                <w:i/>
                <w:color w:val="000000"/>
                <w:sz w:val="24"/>
                <w:szCs w:val="24"/>
                <w:u w:val="single"/>
              </w:rPr>
              <w:t xml:space="preserve">（提供承诺函扫描上传）</w:t>
            </w:r>
            <w:r>
              <w:rPr>
                <w:rFonts w:hint="eastAsia" w:ascii="宋体" w:hAnsi="宋体" w:cs="宋体"/>
                <w:b/>
                <w:bCs/>
                <w:i/>
                <w:color w:val="000000"/>
                <w:sz w:val="24"/>
                <w:szCs w:val="24"/>
                <w:u w:val="single"/>
              </w:rPr>
              <w:br/>
            </w:r>
            <w:r>
              <w:rPr>
                <w:rFonts w:ascii="宋体" w:hAnsi="宋体" w:cs="宋体"/>
                <w:color w:val="000000"/>
                <w:sz w:val="24"/>
                <w:szCs w:val="24"/>
              </w:rPr>
              <w:t xml:space="preserve">3</w:t>
            </w:r>
            <w:r>
              <w:rPr>
                <w:rFonts w:hint="eastAsia" w:ascii="宋体" w:hAnsi="宋体" w:cs="宋体"/>
                <w:color w:val="000000"/>
                <w:sz w:val="24"/>
                <w:szCs w:val="24"/>
              </w:rPr>
              <w:t xml:space="preserve">、支持5G/4G切换。</w:t>
            </w:r>
            <w:r>
              <w:rPr>
                <w:rFonts w:hint="eastAsia" w:ascii="宋体" w:hAnsi="宋体" w:cs="宋体"/>
                <w:color w:val="000000"/>
                <w:sz w:val="24"/>
                <w:szCs w:val="24"/>
              </w:rPr>
              <w:br/>
            </w:r>
            <w:r>
              <w:rPr>
                <w:rFonts w:ascii="宋体" w:hAnsi="宋体" w:cs="宋体"/>
                <w:color w:val="000000"/>
                <w:sz w:val="24"/>
                <w:szCs w:val="24"/>
              </w:rPr>
              <w:t xml:space="preserve">4</w:t>
            </w:r>
            <w:r>
              <w:rPr>
                <w:rFonts w:hint="eastAsia" w:ascii="宋体" w:hAnsi="宋体" w:cs="宋体"/>
                <w:color w:val="000000"/>
                <w:sz w:val="24"/>
                <w:szCs w:val="24"/>
              </w:rPr>
              <w:t xml:space="preserve">、自行提供和采购人网络核心设备对接光纤服务，不再另外收费。</w:t>
            </w:r>
            <w:r/>
          </w:p>
        </w:tc>
      </w:tr>
    </w:tbl>
    <w:p>
      <w:pPr>
        <w:pStyle w:val="108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1060"/>
        <w:jc w:val="left"/>
        <w:spacing w:before="0" w:after="0"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eastAsiaTheme="minorEastAsia"/>
          <w:color w:val="000000" w:themeColor="text1"/>
          <w:sz w:val="24"/>
          <w:szCs w:val="24"/>
        </w:rPr>
        <w:t xml:space="preserve">2</w:t>
      </w:r>
      <w:r>
        <w:rPr>
          <w:rFonts w:hint="eastAsia" w:ascii="宋体" w:hAnsi="宋体" w:cs="宋体"/>
          <w:color w:val="000000" w:themeColor="text1"/>
          <w:sz w:val="24"/>
          <w:szCs w:val="24"/>
        </w:rPr>
        <w:t xml:space="preserve">）服务要求</w:t>
      </w:r>
      <w:r/>
    </w:p>
    <w:tbl>
      <w:tblPr>
        <w:tblStyle w:val="1069"/>
        <w:tblW w:w="9054" w:type="dxa"/>
        <w:jc w:val="center"/>
        <w:tblLayout w:type="fixed"/>
        <w:tblCellMar>
          <w:left w:w="0" w:type="dxa"/>
          <w:top w:w="0" w:type="dxa"/>
          <w:right w:w="0" w:type="dxa"/>
          <w:bottom w:w="0" w:type="dxa"/>
        </w:tblCellMar>
        <w:tblLook w:val="04A0" w:firstRow="1" w:lastRow="0" w:firstColumn="1" w:lastColumn="0" w:noHBand="0" w:noVBand="1"/>
      </w:tblPr>
      <w:tblGrid>
        <w:gridCol w:w="1055"/>
        <w:gridCol w:w="7999"/>
      </w:tblGrid>
      <w:tr>
        <w:trPr>
          <w:jc w:val="center"/>
          <w:trHeight w:val="714"/>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55" w:type="dxa"/>
            <w:vAlign w:val="center"/>
            <w:vMerge w:val="restart"/>
            <w:textDirection w:val="lrTb"/>
            <w:noWrap w:val="false"/>
          </w:tcPr>
          <w:p>
            <w:pPr>
              <w:jc w:val="center"/>
              <w:spacing w:before="120" w:after="120"/>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系统对接需求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99" w:type="dxa"/>
            <w:vAlign w:val="center"/>
            <w:textDirection w:val="lrTb"/>
            <w:noWrap w:val="false"/>
          </w:tcPr>
          <w:p>
            <w:pPr>
              <w:ind w:left="-2"/>
              <w:rPr>
                <w:rFonts w:ascii="宋体" w:hAnsi="宋体" w:cs="宋体"/>
                <w:i/>
                <w:iCs/>
                <w:color w:val="000000" w:themeColor="text1"/>
                <w:sz w:val="24"/>
                <w:szCs w:val="24"/>
                <w:u w:val="single"/>
              </w:rPr>
            </w:pPr>
            <w:r>
              <w:rPr>
                <w:rFonts w:hint="eastAsia" w:ascii="宋体" w:hAnsi="宋体" w:cs="宋体"/>
                <w:i/>
                <w:iCs/>
                <w:color w:val="000000" w:themeColor="text1"/>
                <w:sz w:val="24"/>
                <w:szCs w:val="24"/>
                <w:u w:val="single"/>
              </w:rPr>
              <w:t xml:space="preserve">1、线路开通时间：自接到采购人通知后，</w:t>
            </w:r>
            <w:r>
              <w:rPr>
                <w:rFonts w:ascii="宋体" w:hAnsi="宋体" w:cs="宋体"/>
                <w:i/>
                <w:iCs/>
                <w:color w:val="000000" w:themeColor="text1"/>
                <w:sz w:val="24"/>
                <w:szCs w:val="24"/>
                <w:u w:val="single"/>
              </w:rPr>
              <w:t xml:space="preserve">7</w:t>
            </w:r>
            <w:r>
              <w:rPr>
                <w:rFonts w:hint="eastAsia" w:ascii="宋体" w:hAnsi="宋体" w:cs="宋体"/>
                <w:i/>
                <w:iCs/>
                <w:color w:val="000000" w:themeColor="text1"/>
                <w:sz w:val="24"/>
                <w:szCs w:val="24"/>
                <w:u w:val="single"/>
              </w:rPr>
              <w:t xml:space="preserve">个工作日内完成线路开通工作；对于应急线路，投标人在接到通知后24小时内开通。</w:t>
            </w:r>
            <w:r>
              <w:rPr>
                <w:rFonts w:hint="eastAsia" w:ascii="宋体" w:hAnsi="宋体" w:cs="宋体"/>
                <w:b/>
                <w:bCs/>
                <w:i/>
                <w:color w:val="000000"/>
                <w:sz w:val="24"/>
                <w:szCs w:val="24"/>
                <w:u w:val="single"/>
              </w:rPr>
              <w:t xml:space="preserve">（提供承诺函扫描上传）</w:t>
            </w:r>
            <w:r/>
          </w:p>
        </w:tc>
      </w:tr>
      <w:tr>
        <w:trPr>
          <w:jc w:val="center"/>
          <w:trHeight w:val="10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55"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99" w:type="dxa"/>
            <w:vAlign w:val="center"/>
            <w:textDirection w:val="lrTb"/>
            <w:noWrap w:val="false"/>
          </w:tcPr>
          <w:p>
            <w:pPr>
              <w:rPr>
                <w:rFonts w:ascii="宋体" w:hAnsi="宋体" w:cs="宋体"/>
                <w:i/>
                <w:iCs/>
                <w:color w:val="000000" w:themeColor="text1"/>
                <w:sz w:val="24"/>
                <w:szCs w:val="24"/>
                <w:u w:val="single"/>
              </w:rPr>
            </w:pPr>
            <w:r>
              <w:rPr>
                <w:rFonts w:hint="eastAsia" w:ascii="宋体" w:hAnsi="宋体" w:cs="宋体"/>
                <w:i/>
                <w:iCs/>
                <w:color w:val="000000" w:themeColor="text1"/>
                <w:sz w:val="24"/>
                <w:szCs w:val="24"/>
                <w:u w:val="single"/>
              </w:rPr>
              <w:t xml:space="preserve">2、对于既有线路需进行割接的，投标人须于合同签订后3个工作日内向采购人提交详细割接方案，经采购人同意后于</w:t>
            </w:r>
            <w:r>
              <w:rPr>
                <w:rFonts w:ascii="宋体" w:hAnsi="宋体" w:cs="宋体"/>
                <w:i/>
                <w:iCs/>
                <w:color w:val="000000" w:themeColor="text1"/>
                <w:sz w:val="24"/>
                <w:szCs w:val="24"/>
                <w:u w:val="single"/>
              </w:rPr>
              <w:t xml:space="preserve">7</w:t>
            </w:r>
            <w:r>
              <w:rPr>
                <w:rFonts w:hint="eastAsia" w:ascii="宋体" w:hAnsi="宋体" w:cs="宋体"/>
                <w:i/>
                <w:iCs/>
                <w:color w:val="000000" w:themeColor="text1"/>
                <w:sz w:val="24"/>
                <w:szCs w:val="24"/>
                <w:u w:val="single"/>
              </w:rPr>
              <w:t xml:space="preserve">个工作日内完成割接工作，割接过程中须保证原有业务中断时间不超过0.5小时，且相关协调工作均由投标人承担。</w:t>
            </w:r>
            <w:r>
              <w:rPr>
                <w:rFonts w:hint="eastAsia" w:ascii="宋体" w:hAnsi="宋体" w:cs="宋体"/>
                <w:b/>
                <w:bCs/>
                <w:i/>
                <w:color w:val="000000"/>
                <w:sz w:val="24"/>
                <w:szCs w:val="24"/>
                <w:u w:val="single"/>
              </w:rPr>
              <w:t xml:space="preserve">（提供承诺函扫描上传）</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55" w:type="dxa"/>
            <w:vAlign w:val="center"/>
            <w:vMerge w:val="restart"/>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项目实施需求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99" w:type="dxa"/>
            <w:vAlign w:val="center"/>
            <w:textDirection w:val="lrTb"/>
            <w:noWrap w:val="false"/>
          </w:tcPr>
          <w:p>
            <w:pPr>
              <w:rPr>
                <w:rFonts w:ascii="宋体" w:hAnsi="宋体" w:cs="宋体"/>
                <w:iCs/>
                <w:color w:val="000000" w:themeColor="text1"/>
                <w:sz w:val="24"/>
                <w:szCs w:val="24"/>
              </w:rPr>
            </w:pPr>
            <w:r>
              <w:rPr>
                <w:rFonts w:hint="eastAsia" w:ascii="宋体" w:hAnsi="宋体" w:cs="宋体"/>
                <w:iCs/>
                <w:color w:val="000000" w:themeColor="text1"/>
                <w:sz w:val="24"/>
                <w:szCs w:val="24"/>
              </w:rPr>
              <w:t xml:space="preserve">1、线路拆除时间：自接到采购人通知后，5个工作日内完成线路拆除工作。</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55"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99" w:type="dxa"/>
            <w:vAlign w:val="center"/>
            <w:textDirection w:val="lrTb"/>
            <w:noWrap w:val="false"/>
          </w:tcPr>
          <w:p>
            <w:pPr>
              <w:rPr>
                <w:rFonts w:ascii="宋体" w:hAnsi="宋体" w:cs="宋体"/>
                <w:iCs/>
                <w:color w:val="000000" w:themeColor="text1"/>
                <w:sz w:val="24"/>
                <w:szCs w:val="24"/>
              </w:rPr>
            </w:pPr>
            <w:r>
              <w:rPr>
                <w:rFonts w:hint="eastAsia" w:ascii="宋体" w:hAnsi="宋体" w:cs="宋体"/>
                <w:iCs/>
                <w:color w:val="000000" w:themeColor="text1"/>
                <w:sz w:val="24"/>
                <w:szCs w:val="24"/>
              </w:rPr>
              <w:t xml:space="preserve">2、线路迁移时间：自接到采购人通知后，5个工作日内完成线路迁移工作。</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55" w:type="dxa"/>
            <w:vAlign w:val="center"/>
            <w:vMerge w:val="restart"/>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项目管理需求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99"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1、对于采购人要求的线路开通端地址，投标人须完全满足，相关进场协调工作及费用由投标人自行承担。</w:t>
            </w:r>
            <w:r/>
          </w:p>
        </w:tc>
      </w:tr>
      <w:tr>
        <w:trPr>
          <w:jc w:val="center"/>
          <w:trHeight w:val="1662"/>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55"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99" w:type="dxa"/>
            <w:vAlign w:val="center"/>
            <w:textDirection w:val="lrTb"/>
            <w:noWrap w:val="false"/>
          </w:tcPr>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每月向采购人提供通信线路运行质量报告，（报告内容包括但不限于通信线路的基础信息、各线路的光衰、网络时延、丢包率等状态信息、新增拆机移机等租赁服务信息等），确保通信线路各项运行指标正常。通信线路出现重大故障时，通信备用线路以及端点直连网络设备的备品备件能随时应急启用。要求通信备用线路可用率平均达到99.99%；通信中断4个小时内线路抢修恢复率为100%；平均恢复时间小于2小时。</w:t>
            </w:r>
            <w:r/>
          </w:p>
        </w:tc>
      </w:tr>
      <w:tr>
        <w:trPr>
          <w:jc w:val="center"/>
          <w:trHeight w:val="406"/>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55" w:type="dxa"/>
            <w:vAlign w:val="center"/>
            <w:vMerge w:val="restart"/>
            <w:textDirection w:val="lrTb"/>
            <w:noWrap w:val="false"/>
          </w:tcPr>
          <w:p>
            <w:pPr>
              <w:jc w:val="center"/>
              <w:spacing w:before="120" w:after="120"/>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运维服务需求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99" w:type="dxa"/>
            <w:vAlign w:val="center"/>
            <w:textDirection w:val="lrTb"/>
            <w:noWrap w:val="false"/>
          </w:tcPr>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提供每月常态化全部通信线路的巡检、维护服务，每月巡检次数不少于1次，并提供全面巡检报告，巡检内容包括但不限于通信线路物理状态、行业通用技术指标、采购人定制的相关通信线路配置管理规定的合规性检查、通信线路台账、新增拆机移机情况、租费核准等，提供24小时统一故障申告服务电话，提供故障响应流程和服务承诺。</w:t>
            </w:r>
            <w:r/>
          </w:p>
        </w:tc>
      </w:tr>
      <w:tr>
        <w:trPr>
          <w:jc w:val="center"/>
          <w:trHeight w:val="16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55"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99" w:type="dxa"/>
            <w:vAlign w:val="center"/>
            <w:textDirection w:val="lrTb"/>
            <w:noWrap w:val="false"/>
          </w:tcPr>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除人为破坏和不可抗力影响外，如通信线路发生大面积中断故障（故障比例达到线路总数3%及以上），时间连续超过4小时，投标人扣除1个月的全部通信线路租用费用；达12小时，投标人扣除2个月的全部通信线路租用费用；一年内发生大面积中断超过2次，采购人有权终止合同，投标人须承担相关法律责任。中断故障时间的计算，以投标人接到采购人通知或投标人查出中断的时间起至恢复通信服务时止。</w:t>
            </w:r>
            <w:r/>
          </w:p>
        </w:tc>
      </w:tr>
      <w:tr>
        <w:trPr>
          <w:jc w:val="center"/>
          <w:trHeight w:val="135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55"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99" w:type="dxa"/>
            <w:vAlign w:val="center"/>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t xml:space="preserve">3、</w:t>
            </w:r>
            <w:r>
              <w:rPr>
                <w:rFonts w:hint="eastAsia" w:ascii="宋体" w:hAnsi="宋体" w:cs="宋体"/>
                <w:color w:val="000000" w:themeColor="text1"/>
                <w:sz w:val="24"/>
                <w:szCs w:val="24"/>
              </w:rPr>
              <w:t xml:space="preserve">除人为破坏和不可抗力影响外，如通信线路发生一般中断故障（单条线路中断时间达10分钟计为1次）每达3次，根据投标人的应答价格，扣除该条线路当月线路租赁费。若因市政等原因导致的长时间断网（超过1个月）投标人需提前报备并提供解决方案，如无解决方案将作为停机处理并扣除相应的租赁费用。</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55" w:type="dxa"/>
            <w:vAlign w:val="center"/>
            <w:vMerge w:val="restart"/>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应急保障需求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99" w:type="dxa"/>
            <w:vAlign w:val="center"/>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投标人需根据采购人的要求，及时派出技术维护人员到重要保障任务现场提供服务保障，遇有重大活动、会议任务，需提前检查线路及设备，并配备2名现场值守人员，遇到网络故障立即处置；在采购人提出的重要保障任务中，如发生通信线路或相关网络设备故障造成采购人使用受到严重影响，根据投标人的应答价格扣除相应通信线路1月的线路租赁费用，如果一年内发生超过3次，扣除相应通信线路1年的线路租赁费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55"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99"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rPr>
              <w:t xml:space="preserve">、投标人定期按照采购人要求对机房</w:t>
            </w:r>
            <w:r>
              <w:rPr>
                <w:rFonts w:hint="eastAsia" w:ascii="宋体" w:hAnsi="宋体" w:cs="宋体"/>
                <w:color w:val="000000" w:themeColor="text1"/>
                <w:sz w:val="24"/>
                <w:szCs w:val="24"/>
                <w:lang w:val="en-US" w:eastAsia="zh-CN"/>
              </w:rPr>
              <w:t xml:space="preserve">与</w:t>
            </w:r>
            <w:r>
              <w:rPr>
                <w:rFonts w:hint="eastAsia" w:ascii="宋体" w:hAnsi="宋体" w:cs="宋体"/>
                <w:color w:val="000000" w:themeColor="text1"/>
                <w:sz w:val="24"/>
                <w:szCs w:val="24"/>
              </w:rPr>
              <w:t xml:space="preserve">终端之间的连接光纤检查和免费整理一次。</w:t>
            </w:r>
            <w:r/>
          </w:p>
        </w:tc>
      </w:tr>
      <w:tr>
        <w:trPr>
          <w:jc w:val="center"/>
          <w:trHeight w:val="770"/>
        </w:trPr>
        <w:tc>
          <w:tcPr>
            <w:tcBorders>
              <w:top w:val="single" w:color="000000" w:sz="4" w:space="0"/>
              <w:left w:val="single" w:color="000000" w:sz="4" w:space="0"/>
              <w:right w:val="single" w:color="000000" w:sz="4" w:space="0"/>
            </w:tcBorders>
            <w:tcMar>
              <w:left w:w="10" w:type="dxa"/>
              <w:top w:w="10" w:type="dxa"/>
              <w:right w:w="10" w:type="dxa"/>
            </w:tcMar>
            <w:tcW w:w="1055" w:type="dxa"/>
            <w:vAlign w:val="center"/>
            <w:vMerge w:val="restart"/>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售后服务要求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99" w:type="dxa"/>
            <w:vAlign w:val="center"/>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投标人提供售后服务保障体系和完整合理的售后服务，售后服务中需包含服务内容、响应时间、故障处理、恢复时效、人员力量、支撑保障等内容。</w:t>
            </w:r>
            <w:r/>
          </w:p>
        </w:tc>
      </w:tr>
      <w:tr>
        <w:trPr>
          <w:jc w:val="center"/>
          <w:trHeight w:val="540"/>
        </w:trPr>
        <w:tc>
          <w:tcPr>
            <w:tcBorders>
              <w:left w:val="single" w:color="000000" w:sz="4" w:space="0"/>
              <w:bottom w:val="single" w:color="auto" w:sz="4" w:space="0"/>
              <w:right w:val="single" w:color="000000" w:sz="4" w:space="0"/>
            </w:tcBorders>
            <w:tcMar>
              <w:left w:w="10" w:type="dxa"/>
              <w:top w:w="10" w:type="dxa"/>
              <w:right w:w="10" w:type="dxa"/>
            </w:tcMar>
            <w:tcW w:w="1055"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auto" w:sz="4" w:space="0"/>
              <w:right w:val="single" w:color="000000" w:sz="4" w:space="0"/>
            </w:tcBorders>
            <w:tcMar>
              <w:left w:w="10" w:type="dxa"/>
              <w:top w:w="10" w:type="dxa"/>
              <w:right w:w="10" w:type="dxa"/>
            </w:tcMar>
            <w:tcW w:w="7999" w:type="dxa"/>
            <w:vAlign w:val="center"/>
            <w:textDirection w:val="lrTb"/>
            <w:noWrap w:val="false"/>
          </w:tcPr>
          <w:p>
            <w:pPr>
              <w:rPr>
                <w:rFonts w:ascii="宋体" w:hAnsi="宋体" w:cs="宋体"/>
                <w:color w:val="000000" w:themeColor="text1"/>
                <w:sz w:val="24"/>
                <w:szCs w:val="24"/>
              </w:rPr>
            </w:pPr>
            <w:r>
              <w:rPr>
                <w:rFonts w:hint="eastAsia" w:ascii="宋体" w:hAnsi="宋体" w:cs="宋体"/>
                <w:iCs/>
                <w:color w:val="000000" w:themeColor="text1"/>
                <w:sz w:val="24"/>
                <w:szCs w:val="24"/>
              </w:rPr>
              <w:t xml:space="preserve">2、本项目实施和维护过程中产生一切其他费用由中标人承担，与采购人无关。</w:t>
            </w:r>
            <w:r/>
          </w:p>
        </w:tc>
      </w:tr>
      <w:tr>
        <w:trPr>
          <w:jc w:val="center"/>
          <w:trHeight w:val="810"/>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1055" w:type="dxa"/>
            <w:vAlign w:val="center"/>
            <w:vMerge w:val="restart"/>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其他要求</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999" w:type="dxa"/>
            <w:vAlign w:val="center"/>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合同签订时，采购人将根据既有租赁线路实际使用情况，明确本项目初始线路分配清单，后续如有变化，根据采购人提供的线路开通或拆停单实时纳入本项目中实施，并据实结算费用。</w:t>
            </w:r>
            <w:r/>
          </w:p>
        </w:tc>
      </w:tr>
      <w:tr>
        <w:trPr>
          <w:jc w:val="center"/>
          <w:trHeight w:val="540"/>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1055"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999"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2、各类线路租赁单价应包含线路费用、相关设备费用、施工费用、开户费用等所有费用，投标人不得再收取额外其他费用。</w:t>
            </w:r>
            <w:r/>
          </w:p>
        </w:tc>
      </w:tr>
      <w:tr>
        <w:trPr>
          <w:jc w:val="center"/>
          <w:trHeight w:val="540"/>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1055"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999"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3、项目实施过程中，投标人须严格按照安全施工相关要求开展工作，如发生任何施工事故，后果均由投标人自行承担。</w:t>
            </w:r>
            <w:r/>
          </w:p>
        </w:tc>
      </w:tr>
      <w:tr>
        <w:trPr>
          <w:jc w:val="center"/>
          <w:trHeight w:val="406"/>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1055"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999" w:type="dxa"/>
            <w:vAlign w:val="center"/>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t xml:space="preserve">4、</w:t>
            </w:r>
            <w:r>
              <w:rPr>
                <w:rFonts w:hint="eastAsia" w:ascii="宋体" w:hAnsi="宋体" w:cs="宋体"/>
                <w:color w:val="000000" w:themeColor="text1"/>
                <w:sz w:val="24"/>
                <w:szCs w:val="24"/>
              </w:rPr>
              <w:t xml:space="preserve">投标人如遇必要的如线路改造、线路路由优化等网络割接对采购人线路有影响时，须提前5个工作日以书面方式（加盖公章）告知采购人，经采购人同意后，才可实施。</w:t>
            </w:r>
            <w:r/>
          </w:p>
        </w:tc>
      </w:tr>
      <w:tr>
        <w:trPr>
          <w:jc w:val="center"/>
          <w:trHeight w:val="810"/>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1055"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999"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5、投标人在投标文件中的所有承诺、方案等均须完全履约。在合同签订后，采购人将对投标文件中的内容进行核实，如有不实，视为虚假承诺，采购人有权取消合同，并按照投标人虚假承诺应标处理。</w:t>
            </w:r>
            <w:r/>
          </w:p>
        </w:tc>
      </w:tr>
      <w:tr>
        <w:trPr>
          <w:jc w:val="center"/>
          <w:trHeight w:val="1327"/>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1055"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999" w:type="dxa"/>
            <w:vAlign w:val="center"/>
            <w:textDirection w:val="lrTb"/>
            <w:noWrap w:val="false"/>
          </w:tcPr>
          <w:p>
            <w:pPr>
              <w:rPr>
                <w:rFonts w:ascii="宋体" w:hAnsi="宋体" w:cs="宋体"/>
                <w:color w:val="000000" w:themeColor="text1"/>
                <w:sz w:val="24"/>
                <w:szCs w:val="24"/>
              </w:rPr>
            </w:pPr>
            <w:r>
              <w:rPr>
                <w:rFonts w:hint="eastAsia" w:ascii="宋体" w:hAnsi="宋体" w:cs="宋体"/>
                <w:iCs/>
                <w:color w:val="000000" w:themeColor="text1"/>
                <w:sz w:val="24"/>
                <w:szCs w:val="24"/>
              </w:rPr>
              <w:t xml:space="preserve">6、投标人须接受采购人的数据与网络安全保密管理与监督、人员与公司背景审查、数据与网络保密制度审查等。项目服务期间，如果投标人发生与公安数据相关的安全违规或泄密事件，采购人有权终止合同，取消相关款项支付，并追究投标人的法律责任。</w:t>
            </w:r>
            <w:r/>
          </w:p>
        </w:tc>
      </w:tr>
    </w:tbl>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keepLines w:val="0"/>
        <w:keepNext w:val="0"/>
        <w:pageBreakBefore w:val="0"/>
        <w:spacing w:after="181"/>
        <w:widowControl/>
        <w:rPr>
          <w:rFonts w:ascii="微软雅黑" w:hAnsi="微软雅黑" w:eastAsia="微软雅黑" w:cs="微软雅黑"/>
          <w:sz w:val="24"/>
          <w:szCs w:val="24"/>
        </w:rPr>
      </w:pPr>
      <w:r>
        <w:rPr>
          <w:rFonts w:hint="eastAsia" w:ascii="宋体" w:hAnsi="宋体" w:cs="宋体"/>
          <w:sz w:val="24"/>
          <w:szCs w:val="24"/>
        </w:rPr>
        <w:t xml:space="preserve">2、</w:t>
      </w:r>
      <w:r>
        <w:rPr>
          <w:rFonts w:hint="eastAsia" w:ascii="宋体" w:hAnsi="宋体" w:cs="宋体"/>
          <w:color w:val="ff0000"/>
          <w:sz w:val="24"/>
          <w:szCs w:val="24"/>
        </w:rPr>
        <w:t xml:space="preserve">包2：</w:t>
      </w:r>
      <w:r>
        <w:rPr>
          <w:rFonts w:hint="eastAsia" w:ascii="微软雅黑" w:hAnsi="微软雅黑" w:eastAsia="微软雅黑" w:cs="微软雅黑"/>
          <w:sz w:val="24"/>
          <w:szCs w:val="24"/>
        </w:rPr>
        <w:t xml:space="preserve">互联网出口备用带宽和数据转发服务</w:t>
      </w:r>
      <w:r/>
    </w:p>
    <w:p>
      <w:pPr>
        <w:keepLines/>
        <w:keepNext/>
        <w:pageBreakBefore w:val="0"/>
        <w:spacing w:before="181" w:after="200"/>
        <w:widowControl w:val="off"/>
        <w:rPr>
          <w:rFonts w:hAnsi="宋体" w:cs="Arial"/>
          <w:color w:val="000000"/>
          <w:sz w:val="24"/>
          <w:szCs w:val="24"/>
        </w:rPr>
        <w:outlineLvl w:val="2"/>
      </w:pPr>
      <w:r>
        <w:rPr>
          <w:rFonts w:hint="eastAsia" w:ascii="宋体" w:hAnsi="宋体" w:cs="宋体"/>
          <w:sz w:val="24"/>
          <w:szCs w:val="24"/>
        </w:rPr>
        <w:t xml:space="preserve">（</w:t>
      </w:r>
      <w:r>
        <w:rPr>
          <w:rFonts w:hint="eastAsia" w:ascii="Arial" w:hAnsi="Arial" w:cs="Arial" w:eastAsiaTheme="minorEastAsia"/>
          <w:sz w:val="24"/>
          <w:szCs w:val="24"/>
        </w:rPr>
        <w:t xml:space="preserve">1</w:t>
      </w:r>
      <w:r>
        <w:rPr>
          <w:rFonts w:hint="eastAsia" w:ascii="宋体" w:hAnsi="宋体" w:cs="宋体"/>
          <w:sz w:val="24"/>
          <w:szCs w:val="24"/>
        </w:rPr>
        <w:t xml:space="preserve">）清单及参数</w:t>
      </w:r>
      <w:r/>
    </w:p>
    <w:tbl>
      <w:tblPr>
        <w:tblStyle w:val="1069"/>
        <w:tblW w:w="90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9"/>
        <w:gridCol w:w="1260"/>
        <w:gridCol w:w="7334"/>
      </w:tblGrid>
      <w:tr>
        <w:trPr>
          <w:jc w:val="center"/>
          <w:trHeight w:val="305"/>
        </w:trPr>
        <w:tc>
          <w:tcPr>
            <w:shd w:val="clear" w:color="auto" w:fill="auto"/>
            <w:tcW w:w="419" w:type="dxa"/>
            <w:vAlign w:val="center"/>
            <w:textDirection w:val="lrTb"/>
            <w:noWrap w:val="false"/>
          </w:tcPr>
          <w:p>
            <w:pPr>
              <w:jc w:val="both"/>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W w:w="126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互联网出口服务</w:t>
            </w:r>
            <w:r/>
          </w:p>
        </w:tc>
        <w:tc>
          <w:tcPr>
            <w:shd w:val="clear" w:color="auto" w:fill="auto"/>
            <w:tcW w:w="7334" w:type="dxa"/>
            <w:vAlign w:val="center"/>
            <w:textDirection w:val="lrTb"/>
            <w:noWrap w:val="false"/>
          </w:tcPr>
          <w:p>
            <w:pPr>
              <w:jc w:val="left"/>
              <w:widowControl/>
              <w:rPr>
                <w:rFonts w:ascii="宋体" w:hAnsi="宋体" w:cs="宋体"/>
                <w:i/>
                <w:color w:val="000000" w:themeColor="text1"/>
                <w:sz w:val="24"/>
                <w:szCs w:val="24"/>
                <w:u w:val="single"/>
              </w:rPr>
            </w:pPr>
            <w:r>
              <w:rPr>
                <w:rFonts w:hint="eastAsia" w:ascii="宋体" w:hAnsi="宋体" w:cs="宋体"/>
                <w:i/>
                <w:color w:val="000000"/>
                <w:sz w:val="24"/>
                <w:szCs w:val="24"/>
                <w:u w:val="single"/>
              </w:rPr>
              <w:t xml:space="preserve">1、提供≥</w:t>
            </w:r>
            <w:r>
              <w:rPr>
                <w:rFonts w:ascii="宋体" w:hAnsi="宋体" w:cs="宋体"/>
                <w:i/>
                <w:color w:val="000000"/>
                <w:sz w:val="24"/>
                <w:szCs w:val="24"/>
                <w:u w:val="single"/>
              </w:rPr>
              <w:t xml:space="preserve">1</w:t>
            </w:r>
            <w:r>
              <w:rPr>
                <w:rFonts w:hint="eastAsia" w:ascii="宋体" w:hAnsi="宋体" w:cs="宋体"/>
                <w:i/>
                <w:color w:val="000000"/>
                <w:sz w:val="24"/>
                <w:szCs w:val="24"/>
                <w:u w:val="single"/>
              </w:rPr>
              <w:t xml:space="preserve">Gbps互联网总带宽，可以根据实际需求可分多条线路接入。</w:t>
            </w:r>
            <w:r>
              <w:rPr>
                <w:rFonts w:hint="eastAsia" w:ascii="宋体" w:hAnsi="宋体" w:cs="宋体"/>
                <w:b/>
                <w:bCs/>
                <w:i/>
                <w:color w:val="000000"/>
                <w:sz w:val="24"/>
                <w:szCs w:val="24"/>
                <w:u w:val="single"/>
              </w:rPr>
              <w:t xml:space="preserve">（提供承诺函扫描上传）</w:t>
            </w:r>
            <w:r>
              <w:rPr>
                <w:rFonts w:hint="eastAsia" w:ascii="宋体" w:hAnsi="宋体" w:cs="宋体"/>
                <w:b/>
                <w:bCs/>
                <w:i/>
                <w:color w:val="000000"/>
                <w:sz w:val="24"/>
                <w:szCs w:val="24"/>
                <w:u w:val="single"/>
              </w:rPr>
              <w:br/>
            </w:r>
            <w:r>
              <w:rPr>
                <w:rFonts w:hint="eastAsia" w:ascii="宋体" w:hAnsi="宋体" w:cs="宋体"/>
                <w:i/>
                <w:color w:val="000000" w:themeColor="text1"/>
                <w:sz w:val="24"/>
                <w:szCs w:val="24"/>
                <w:u w:val="single"/>
              </w:rPr>
              <w:t xml:space="preserve">2、提供</w:t>
            </w:r>
            <w:r>
              <w:rPr>
                <w:rFonts w:hint="eastAsia" w:ascii="宋体" w:hAnsi="宋体" w:cs="宋体"/>
                <w:i/>
                <w:color w:val="000000"/>
                <w:sz w:val="24"/>
                <w:szCs w:val="24"/>
                <w:u w:val="single"/>
              </w:rPr>
              <w:t xml:space="preserve">≥</w:t>
            </w:r>
            <w:r>
              <w:rPr>
                <w:rFonts w:ascii="宋体" w:hAnsi="宋体" w:cs="宋体"/>
                <w:i/>
                <w:color w:val="000000" w:themeColor="text1"/>
                <w:sz w:val="24"/>
                <w:szCs w:val="24"/>
                <w:u w:val="single"/>
              </w:rPr>
              <w:t xml:space="preserve">32</w:t>
            </w:r>
            <w:r>
              <w:rPr>
                <w:rFonts w:hint="eastAsia" w:ascii="宋体" w:hAnsi="宋体" w:cs="宋体"/>
                <w:i/>
                <w:color w:val="000000" w:themeColor="text1"/>
                <w:sz w:val="24"/>
                <w:szCs w:val="24"/>
                <w:u w:val="single"/>
              </w:rPr>
              <w:t xml:space="preserve">个公网IPv4地址、</w:t>
            </w:r>
            <w:r>
              <w:rPr>
                <w:rFonts w:hint="eastAsia" w:ascii="宋体" w:hAnsi="宋体" w:cs="宋体"/>
                <w:i/>
                <w:color w:val="000000"/>
                <w:sz w:val="24"/>
                <w:szCs w:val="24"/>
                <w:u w:val="single"/>
              </w:rPr>
              <w:t xml:space="preserve">≥</w:t>
            </w:r>
            <w:r>
              <w:rPr>
                <w:rFonts w:ascii="宋体" w:hAnsi="宋体" w:cs="宋体"/>
                <w:i/>
                <w:color w:val="000000" w:themeColor="text1"/>
                <w:sz w:val="24"/>
                <w:szCs w:val="24"/>
                <w:u w:val="single"/>
              </w:rPr>
              <w:t xml:space="preserve">32</w:t>
            </w:r>
            <w:r>
              <w:rPr>
                <w:rFonts w:hint="eastAsia" w:ascii="宋体" w:hAnsi="宋体" w:cs="宋体"/>
                <w:i/>
                <w:color w:val="000000" w:themeColor="text1"/>
                <w:sz w:val="24"/>
                <w:szCs w:val="24"/>
                <w:u w:val="single"/>
              </w:rPr>
              <w:t xml:space="preserve">个公网IPv6地址。</w:t>
            </w:r>
            <w:r>
              <w:rPr>
                <w:rFonts w:hint="eastAsia" w:ascii="宋体" w:hAnsi="宋体" w:cs="宋体"/>
                <w:b/>
                <w:bCs/>
                <w:i/>
                <w:color w:val="000000"/>
                <w:sz w:val="24"/>
                <w:szCs w:val="24"/>
                <w:u w:val="single"/>
              </w:rPr>
              <w:t xml:space="preserve">（提供承诺函扫描上传）</w:t>
            </w:r>
            <w:r>
              <w:rPr>
                <w:rFonts w:hint="eastAsia" w:ascii="宋体" w:hAnsi="宋体" w:cs="宋体"/>
                <w:b/>
                <w:bCs/>
                <w:i/>
                <w:color w:val="000000"/>
                <w:sz w:val="24"/>
                <w:szCs w:val="24"/>
                <w:u w:val="single"/>
              </w:rPr>
              <w:br/>
            </w:r>
            <w:r>
              <w:rPr>
                <w:rFonts w:hint="eastAsia" w:ascii="宋体" w:hAnsi="宋体" w:cs="宋体"/>
                <w:color w:val="000000"/>
                <w:sz w:val="24"/>
                <w:szCs w:val="24"/>
              </w:rPr>
              <w:t xml:space="preserve">3、投标人须提供7×24小时的监控和维护服务，在服务期内接到采购人的报修电话，投标人的技术服务人员须在30分钟内响应，并在1小时内赶到使用现场实施维修，2小时内修复故障，1天内提供书面故障检修报告。</w:t>
            </w:r>
            <w:r>
              <w:rPr>
                <w:rFonts w:hint="eastAsia" w:ascii="宋体" w:hAnsi="宋体" w:cs="宋体"/>
                <w:color w:val="000000"/>
                <w:sz w:val="24"/>
                <w:szCs w:val="24"/>
              </w:rPr>
              <w:br/>
            </w:r>
            <w:r>
              <w:rPr>
                <w:rFonts w:hint="eastAsia" w:ascii="宋体" w:hAnsi="宋体" w:cs="宋体"/>
                <w:color w:val="000000"/>
                <w:sz w:val="24"/>
                <w:szCs w:val="24"/>
              </w:rPr>
              <w:t xml:space="preserve">4、光纤布线接入要符合国家有关光纤布线规范。所有光纤引入机房交换机柜，并可直接连接到交换机光纤端口。光纤接入所需设备由投标人提供，不再另外收费。</w:t>
            </w:r>
            <w:r/>
          </w:p>
        </w:tc>
      </w:tr>
      <w:tr>
        <w:trPr>
          <w:jc w:val="center"/>
          <w:trHeight w:val="2967"/>
        </w:trPr>
        <w:tc>
          <w:tcPr>
            <w:shd w:val="clear" w:color="auto" w:fill="auto"/>
            <w:tcW w:w="419" w:type="dxa"/>
            <w:vAlign w:val="center"/>
            <w:textDirection w:val="lrTb"/>
            <w:noWrap w:val="false"/>
          </w:tcPr>
          <w:p>
            <w:pPr>
              <w:jc w:val="both"/>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W w:w="126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横向部门高流量数据转发服务</w:t>
            </w:r>
            <w:r/>
          </w:p>
        </w:tc>
        <w:tc>
          <w:tcPr>
            <w:shd w:val="clear" w:color="auto" w:fill="auto"/>
            <w:tcW w:w="7334" w:type="dxa"/>
            <w:vAlign w:val="center"/>
            <w:textDirection w:val="lrTb"/>
            <w:noWrap w:val="false"/>
          </w:tcPr>
          <w:p>
            <w:pPr>
              <w:jc w:val="left"/>
              <w:widowControl/>
              <w:rPr>
                <w:rFonts w:hint="eastAsia" w:ascii="宋体" w:hAnsi="宋体" w:cs="宋体"/>
                <w:b/>
                <w:bCs/>
                <w:i/>
                <w:color w:val="000000"/>
                <w:sz w:val="24"/>
                <w:szCs w:val="24"/>
                <w:u w:val="single"/>
              </w:rPr>
            </w:pPr>
            <w:r>
              <w:rPr>
                <w:rFonts w:hint="eastAsia" w:ascii="宋体" w:hAnsi="宋体" w:cs="宋体"/>
                <w:i/>
                <w:color w:val="000000"/>
                <w:sz w:val="24"/>
                <w:szCs w:val="24"/>
                <w:u w:val="single"/>
              </w:rPr>
              <w:t xml:space="preserve">1、提供≥</w:t>
            </w:r>
            <w:r>
              <w:rPr>
                <w:rFonts w:ascii="宋体" w:hAnsi="宋体" w:cs="宋体"/>
                <w:i/>
                <w:color w:val="000000"/>
                <w:sz w:val="24"/>
                <w:szCs w:val="24"/>
                <w:u w:val="single"/>
              </w:rPr>
              <w:t xml:space="preserve">7个节点数据转发服务。</w:t>
            </w:r>
            <w:r>
              <w:rPr>
                <w:rFonts w:hint="eastAsia" w:ascii="宋体" w:hAnsi="宋体" w:cs="宋体"/>
                <w:b/>
                <w:bCs/>
                <w:i/>
                <w:color w:val="000000"/>
                <w:sz w:val="24"/>
                <w:szCs w:val="24"/>
                <w:u w:val="single"/>
              </w:rPr>
              <w:t xml:space="preserve">（提供承诺函扫描上传）</w:t>
            </w:r>
            <w:r/>
          </w:p>
          <w:p>
            <w:pPr>
              <w:jc w:val="left"/>
              <w:widowControl/>
              <w:rPr>
                <w:rFonts w:hint="eastAsia" w:ascii="宋体" w:hAnsi="宋体" w:cs="宋体"/>
                <w:b/>
                <w:bCs/>
                <w:i/>
                <w:color w:val="000000"/>
                <w:sz w:val="24"/>
                <w:szCs w:val="24"/>
                <w:u w:val="single"/>
              </w:rPr>
            </w:pPr>
            <w:r>
              <w:rPr>
                <w:rFonts w:hint="eastAsia" w:ascii="宋体" w:hAnsi="宋体" w:cs="宋体"/>
                <w:color w:val="000000"/>
                <w:sz w:val="24"/>
                <w:szCs w:val="24"/>
              </w:rPr>
              <w:t xml:space="preserve">2、支持万兆速率数据传输，高效转发大容量数据，连接不同网络层级，支持 VLAN 等功能，保障高带宽场景下的稳定通信与网络性能。</w:t>
            </w:r>
            <w:r>
              <w:rPr>
                <w:rFonts w:hint="eastAsia" w:ascii="宋体" w:hAnsi="宋体" w:cs="宋体"/>
                <w:color w:val="000000"/>
                <w:sz w:val="24"/>
                <w:szCs w:val="24"/>
              </w:rPr>
              <w:br/>
            </w:r>
            <w:r>
              <w:rPr>
                <w:rFonts w:hint="eastAsia" w:ascii="宋体" w:hAnsi="宋体" w:cs="宋体"/>
                <w:color w:val="000000"/>
                <w:sz w:val="24"/>
                <w:szCs w:val="24"/>
              </w:rPr>
              <w:t xml:space="preserve">3、支持IPv4/IPv6，支持SRv6协议；支持随流逐包的性能检测技术，支持RIP、OSPF、IS-IS、BGP等路由协议。</w:t>
            </w:r>
            <w:r>
              <w:rPr>
                <w:rFonts w:hint="eastAsia" w:ascii="宋体" w:hAnsi="宋体" w:cs="宋体"/>
                <w:color w:val="000000"/>
                <w:sz w:val="24"/>
                <w:szCs w:val="24"/>
              </w:rPr>
              <w:br/>
            </w:r>
            <w:r>
              <w:rPr>
                <w:rFonts w:hint="eastAsia" w:ascii="宋体" w:hAnsi="宋体" w:cs="宋体"/>
                <w:color w:val="000000"/>
                <w:sz w:val="24"/>
                <w:szCs w:val="24"/>
              </w:rPr>
              <w:t xml:space="preserve">4、支持IPv6协议的MTU值≥2000。</w:t>
            </w:r>
            <w:r>
              <w:rPr>
                <w:rFonts w:hint="eastAsia" w:ascii="宋体" w:hAnsi="宋体" w:cs="宋体"/>
                <w:color w:val="000000"/>
                <w:sz w:val="24"/>
                <w:szCs w:val="24"/>
              </w:rPr>
              <w:br/>
            </w:r>
            <w:r>
              <w:rPr>
                <w:rFonts w:hint="eastAsia" w:ascii="宋体" w:hAnsi="宋体" w:cs="宋体"/>
                <w:color w:val="000000"/>
                <w:sz w:val="24"/>
                <w:szCs w:val="24"/>
              </w:rPr>
              <w:t xml:space="preserve">5、≥2个10GE光口，≥6个GE光口，≥8个GE电口。</w:t>
            </w:r>
            <w:r>
              <w:rPr>
                <w:rFonts w:hint="eastAsia" w:ascii="宋体" w:hAnsi="宋体" w:cs="宋体"/>
                <w:color w:val="000000"/>
                <w:sz w:val="24"/>
                <w:szCs w:val="24"/>
              </w:rPr>
              <w:br/>
            </w:r>
            <w:r>
              <w:rPr>
                <w:rFonts w:hint="eastAsia" w:ascii="宋体" w:hAnsi="宋体" w:cs="宋体"/>
                <w:color w:val="000000"/>
                <w:sz w:val="24"/>
                <w:szCs w:val="24"/>
              </w:rPr>
              <w:t xml:space="preserve">6、配置SRv6，RSVP-TE，MPLS-TE，VxLAN，L3VPN，EVPN，Telemetry、随流检测等授权。</w:t>
            </w:r>
            <w:r>
              <w:rPr>
                <w:rFonts w:hint="eastAsia" w:ascii="宋体" w:hAnsi="宋体" w:cs="宋体"/>
                <w:color w:val="000000"/>
                <w:sz w:val="24"/>
                <w:szCs w:val="24"/>
              </w:rPr>
              <w:br/>
            </w:r>
            <w:r>
              <w:rPr>
                <w:rFonts w:hint="eastAsia" w:ascii="宋体" w:hAnsi="宋体" w:cs="宋体"/>
                <w:color w:val="000000"/>
                <w:sz w:val="24"/>
                <w:szCs w:val="24"/>
              </w:rPr>
              <w:t xml:space="preserve">7、配置端口分片功能许可。</w:t>
            </w:r>
            <w:r>
              <w:rPr>
                <w:rFonts w:hint="eastAsia" w:ascii="宋体" w:hAnsi="宋体" w:cs="宋体"/>
                <w:color w:val="000000"/>
                <w:sz w:val="24"/>
                <w:szCs w:val="24"/>
              </w:rPr>
              <w:br/>
            </w:r>
            <w:r>
              <w:rPr>
                <w:rFonts w:hint="eastAsia" w:ascii="宋体" w:hAnsi="宋体" w:cs="宋体"/>
                <w:color w:val="000000"/>
                <w:sz w:val="24"/>
                <w:szCs w:val="24"/>
              </w:rPr>
              <w:t xml:space="preserve">8、配置网络控制器管控授权（含SRv6 Policy、IFIT功能、网络分片功能）。</w:t>
            </w:r>
            <w:r>
              <w:rPr>
                <w:rFonts w:hint="eastAsia" w:ascii="宋体" w:hAnsi="宋体" w:cs="宋体"/>
                <w:color w:val="000000"/>
                <w:sz w:val="24"/>
                <w:szCs w:val="24"/>
              </w:rPr>
              <w:br/>
            </w:r>
            <w:r>
              <w:rPr>
                <w:rFonts w:hint="eastAsia" w:ascii="宋体" w:hAnsi="宋体" w:cs="宋体"/>
                <w:color w:val="000000"/>
                <w:sz w:val="24"/>
                <w:szCs w:val="24"/>
              </w:rPr>
              <w:t xml:space="preserve">9、</w:t>
            </w:r>
            <w:r>
              <w:rPr>
                <w:rFonts w:hint="eastAsia" w:ascii="宋体" w:hAnsi="宋体" w:cs="宋体"/>
                <w:i/>
                <w:color w:val="000000"/>
                <w:sz w:val="24"/>
                <w:szCs w:val="24"/>
                <w:u w:val="single"/>
              </w:rPr>
              <w:t xml:space="preserve">提供数据转发服务的设备配备工作波长兼容1310nm/1550nm的1</w:t>
            </w:r>
            <w:r>
              <w:rPr>
                <w:rFonts w:ascii="宋体" w:hAnsi="宋体" w:cs="宋体"/>
                <w:i/>
                <w:color w:val="000000"/>
                <w:sz w:val="24"/>
                <w:szCs w:val="24"/>
                <w:u w:val="single"/>
              </w:rPr>
              <w:t xml:space="preserve">0G</w:t>
            </w:r>
            <w:r>
              <w:rPr>
                <w:rFonts w:hint="eastAsia" w:ascii="宋体" w:hAnsi="宋体" w:cs="宋体"/>
                <w:i/>
                <w:color w:val="000000"/>
                <w:sz w:val="24"/>
                <w:szCs w:val="24"/>
                <w:u w:val="single"/>
              </w:rPr>
              <w:t xml:space="preserve">光模块，数量≥2个，传输距离≥1</w:t>
            </w:r>
            <w:r>
              <w:rPr>
                <w:rFonts w:ascii="宋体" w:hAnsi="宋体" w:cs="宋体"/>
                <w:i/>
                <w:color w:val="000000"/>
                <w:sz w:val="24"/>
                <w:szCs w:val="24"/>
                <w:u w:val="single"/>
              </w:rPr>
              <w:t xml:space="preserve">0KM</w:t>
            </w:r>
            <w:r>
              <w:rPr>
                <w:rFonts w:hint="eastAsia" w:ascii="宋体" w:hAnsi="宋体" w:cs="宋体"/>
                <w:i/>
                <w:color w:val="000000"/>
                <w:sz w:val="24"/>
                <w:szCs w:val="24"/>
                <w:u w:val="single"/>
              </w:rPr>
              <w:t xml:space="preserve">。</w:t>
            </w:r>
            <w:r>
              <w:rPr>
                <w:rFonts w:hint="eastAsia" w:ascii="宋体" w:hAnsi="宋体" w:cs="宋体"/>
                <w:b/>
                <w:bCs/>
                <w:i/>
                <w:color w:val="000000"/>
                <w:sz w:val="24"/>
                <w:szCs w:val="24"/>
                <w:u w:val="single"/>
              </w:rPr>
              <w:t xml:space="preserve">（提供承诺函扫描上传）</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0、</w:t>
            </w:r>
            <w:r>
              <w:rPr>
                <w:rFonts w:hint="eastAsia" w:ascii="宋体" w:hAnsi="宋体" w:cs="宋体"/>
                <w:color w:val="000000"/>
                <w:sz w:val="24"/>
                <w:szCs w:val="24"/>
              </w:rPr>
              <w:t xml:space="preserve">提供数据转发服务的设备使用关键芯片（主控CPU芯片）需采用国产化芯片。</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1、</w:t>
            </w:r>
            <w:r>
              <w:rPr>
                <w:rFonts w:hint="eastAsia" w:ascii="宋体" w:hAnsi="宋体" w:cs="宋体"/>
                <w:color w:val="000000"/>
                <w:sz w:val="24"/>
                <w:szCs w:val="24"/>
              </w:rPr>
              <w:t xml:space="preserve">实配冗余电源。</w:t>
            </w:r>
            <w:r/>
          </w:p>
        </w:tc>
      </w:tr>
      <w:tr>
        <w:trPr>
          <w:jc w:val="center"/>
          <w:trHeight w:val="4668"/>
        </w:trPr>
        <w:tc>
          <w:tcPr>
            <w:shd w:val="clear" w:color="auto" w:fill="auto"/>
            <w:tcW w:w="419" w:type="dxa"/>
            <w:vAlign w:val="center"/>
            <w:textDirection w:val="lrTb"/>
            <w:noWrap w:val="false"/>
          </w:tcPr>
          <w:p>
            <w:pPr>
              <w:jc w:val="both"/>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W w:w="126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bCs/>
                <w:color w:val="000000" w:themeColor="text1"/>
                <w:sz w:val="24"/>
                <w:szCs w:val="24"/>
              </w:rPr>
              <w:t xml:space="preserve">横向部门常规流量数据转发服务</w:t>
            </w:r>
            <w:r/>
          </w:p>
        </w:tc>
        <w:tc>
          <w:tcPr>
            <w:shd w:val="clear" w:color="auto" w:fill="auto"/>
            <w:tcW w:w="7334" w:type="dxa"/>
            <w:vAlign w:val="center"/>
            <w:textDirection w:val="lrTb"/>
            <w:noWrap w:val="false"/>
          </w:tcPr>
          <w:p>
            <w:pPr>
              <w:jc w:val="left"/>
              <w:widowControl/>
              <w:rPr>
                <w:rFonts w:hint="eastAsia" w:ascii="宋体" w:hAnsi="宋体" w:cs="宋体"/>
                <w:b/>
                <w:bCs/>
                <w:i/>
                <w:color w:val="000000"/>
                <w:sz w:val="24"/>
                <w:szCs w:val="24"/>
                <w:u w:val="single"/>
              </w:rPr>
            </w:pPr>
            <w:r>
              <w:rPr>
                <w:rFonts w:hint="eastAsia" w:ascii="宋体" w:hAnsi="宋体" w:cs="宋体"/>
                <w:color w:val="000000"/>
                <w:sz w:val="24"/>
                <w:szCs w:val="24"/>
              </w:rPr>
              <w:t xml:space="preserve">1、</w:t>
            </w:r>
            <w:r>
              <w:rPr>
                <w:rFonts w:hint="eastAsia" w:ascii="宋体" w:hAnsi="宋体" w:cs="宋体"/>
                <w:i/>
                <w:color w:val="000000"/>
                <w:sz w:val="24"/>
                <w:szCs w:val="24"/>
                <w:u w:val="single"/>
              </w:rPr>
              <w:t xml:space="preserve">提供≥</w:t>
            </w:r>
            <w:r>
              <w:rPr>
                <w:rFonts w:ascii="宋体" w:hAnsi="宋体" w:cs="宋体"/>
                <w:i/>
                <w:color w:val="000000"/>
                <w:sz w:val="24"/>
                <w:szCs w:val="24"/>
                <w:u w:val="single"/>
              </w:rPr>
              <w:t xml:space="preserve">67个节点数据转发服务。</w:t>
            </w:r>
            <w:r>
              <w:rPr>
                <w:rFonts w:hint="eastAsia" w:ascii="宋体" w:hAnsi="宋体" w:cs="宋体"/>
                <w:b/>
                <w:bCs/>
                <w:i/>
                <w:color w:val="000000"/>
                <w:sz w:val="24"/>
                <w:szCs w:val="24"/>
                <w:u w:val="single"/>
              </w:rPr>
              <w:t xml:space="preserve">（提供承诺函扫描上传）</w:t>
            </w:r>
            <w:r/>
          </w:p>
          <w:p>
            <w:pPr>
              <w:jc w:val="left"/>
              <w:widowControl/>
              <w:rPr>
                <w:rFonts w:hint="eastAsia" w:ascii="宋体" w:hAnsi="宋体" w:cs="宋体"/>
                <w:b/>
                <w:bCs/>
                <w:i/>
                <w:color w:val="000000"/>
                <w:sz w:val="24"/>
                <w:szCs w:val="24"/>
                <w:u w:val="single"/>
              </w:rPr>
            </w:pPr>
            <w:r>
              <w:rPr>
                <w:rFonts w:hint="eastAsia" w:ascii="宋体" w:hAnsi="宋体" w:cs="宋体"/>
                <w:color w:val="000000"/>
                <w:sz w:val="24"/>
                <w:szCs w:val="24"/>
              </w:rPr>
              <w:t xml:space="preserve">2、支持千兆速率数据传输，高效转发大容量数据，连接不同网络层级，支持 VLAN 等功能，保障高带宽场景下的稳定通信与网络性能。</w:t>
            </w:r>
            <w:r>
              <w:rPr>
                <w:rFonts w:hint="eastAsia" w:ascii="宋体" w:hAnsi="宋体" w:cs="宋体"/>
                <w:color w:val="000000"/>
                <w:sz w:val="24"/>
                <w:szCs w:val="24"/>
              </w:rPr>
              <w:br/>
            </w:r>
            <w:r>
              <w:rPr>
                <w:rFonts w:hint="eastAsia" w:ascii="宋体" w:hAnsi="宋体" w:cs="宋体"/>
                <w:color w:val="000000"/>
                <w:sz w:val="24"/>
                <w:szCs w:val="24"/>
              </w:rPr>
              <w:t xml:space="preserve">3、支持IPv4/IPv6，支持SRv6协议；支持随流逐包的性能检测技术，支持RIP、OSPF、IS-IS、BGP等路由协议。</w:t>
            </w:r>
            <w:r>
              <w:rPr>
                <w:rFonts w:hint="eastAsia" w:ascii="宋体" w:hAnsi="宋体" w:cs="宋体"/>
                <w:color w:val="000000"/>
                <w:sz w:val="24"/>
                <w:szCs w:val="24"/>
              </w:rPr>
              <w:br/>
            </w:r>
            <w:r>
              <w:rPr>
                <w:rFonts w:hint="eastAsia" w:ascii="宋体" w:hAnsi="宋体" w:cs="宋体"/>
                <w:color w:val="000000"/>
                <w:sz w:val="24"/>
                <w:szCs w:val="24"/>
              </w:rPr>
              <w:t xml:space="preserve">4、支持IPv6协议的MTU值≥2000。</w:t>
            </w:r>
            <w:r>
              <w:rPr>
                <w:rFonts w:hint="eastAsia" w:ascii="宋体" w:hAnsi="宋体" w:cs="宋体"/>
                <w:color w:val="000000"/>
                <w:sz w:val="24"/>
                <w:szCs w:val="24"/>
              </w:rPr>
              <w:br/>
            </w:r>
            <w:r>
              <w:rPr>
                <w:rFonts w:hint="eastAsia" w:ascii="宋体" w:hAnsi="宋体" w:cs="宋体"/>
                <w:color w:val="000000"/>
                <w:sz w:val="24"/>
                <w:szCs w:val="24"/>
              </w:rPr>
              <w:t xml:space="preserve">5、≥2个GE光口，≥4个GE电口。</w:t>
            </w:r>
            <w:r>
              <w:rPr>
                <w:rFonts w:hint="eastAsia" w:ascii="宋体" w:hAnsi="宋体" w:cs="宋体"/>
                <w:color w:val="000000"/>
                <w:sz w:val="24"/>
                <w:szCs w:val="24"/>
              </w:rPr>
              <w:br/>
            </w:r>
            <w:r>
              <w:rPr>
                <w:rFonts w:hint="eastAsia" w:ascii="宋体" w:hAnsi="宋体" w:cs="宋体"/>
                <w:color w:val="000000"/>
                <w:sz w:val="24"/>
                <w:szCs w:val="24"/>
              </w:rPr>
              <w:t xml:space="preserve">6、配置SRv6，RSVP-TE，MPLS-TE，VxLAN，L3VPN，EVPN，Telemetry、随流检测等授权。</w:t>
            </w:r>
            <w:r>
              <w:rPr>
                <w:rFonts w:hint="eastAsia" w:ascii="宋体" w:hAnsi="宋体" w:cs="宋体"/>
                <w:color w:val="000000"/>
                <w:sz w:val="24"/>
                <w:szCs w:val="24"/>
              </w:rPr>
              <w:br/>
            </w:r>
            <w:r>
              <w:rPr>
                <w:rFonts w:hint="eastAsia" w:ascii="宋体" w:hAnsi="宋体" w:cs="宋体"/>
                <w:color w:val="000000"/>
                <w:sz w:val="24"/>
                <w:szCs w:val="24"/>
              </w:rPr>
              <w:t xml:space="preserve">7、配置端口分片功能许可。</w:t>
            </w:r>
            <w:r>
              <w:rPr>
                <w:rFonts w:hint="eastAsia" w:ascii="宋体" w:hAnsi="宋体" w:cs="宋体"/>
                <w:color w:val="000000"/>
                <w:sz w:val="24"/>
                <w:szCs w:val="24"/>
              </w:rPr>
              <w:br/>
            </w:r>
            <w:r>
              <w:rPr>
                <w:rFonts w:hint="eastAsia" w:ascii="宋体" w:hAnsi="宋体" w:cs="宋体"/>
                <w:color w:val="000000"/>
                <w:sz w:val="24"/>
                <w:szCs w:val="24"/>
              </w:rPr>
              <w:t xml:space="preserve">8、配置网络控制器管控授权（含SRv6 Policy、IFIT功能、网络分片功能）。</w:t>
            </w:r>
            <w:r>
              <w:rPr>
                <w:rFonts w:hint="eastAsia" w:ascii="宋体" w:hAnsi="宋体" w:cs="宋体"/>
                <w:color w:val="000000"/>
                <w:sz w:val="24"/>
                <w:szCs w:val="24"/>
              </w:rPr>
              <w:br/>
            </w:r>
            <w:r>
              <w:rPr>
                <w:rFonts w:hint="eastAsia" w:ascii="宋体" w:hAnsi="宋体" w:cs="宋体"/>
                <w:color w:val="000000"/>
                <w:sz w:val="24"/>
                <w:szCs w:val="24"/>
              </w:rPr>
              <w:t xml:space="preserve">9、</w:t>
            </w:r>
            <w:r>
              <w:rPr>
                <w:rFonts w:hint="eastAsia" w:ascii="宋体" w:hAnsi="宋体" w:cs="宋体"/>
                <w:i/>
                <w:color w:val="000000"/>
                <w:sz w:val="24"/>
                <w:szCs w:val="24"/>
                <w:u w:val="single"/>
              </w:rPr>
              <w:t xml:space="preserve">提供数据转发服务的设备配备工作波长兼容1310nm/1550nm的1</w:t>
            </w:r>
            <w:r>
              <w:rPr>
                <w:rFonts w:ascii="宋体" w:hAnsi="宋体" w:cs="宋体"/>
                <w:i/>
                <w:color w:val="000000"/>
                <w:sz w:val="24"/>
                <w:szCs w:val="24"/>
                <w:u w:val="single"/>
              </w:rPr>
              <w:t xml:space="preserve">.25G</w:t>
            </w:r>
            <w:r>
              <w:rPr>
                <w:rFonts w:hint="eastAsia" w:ascii="宋体" w:hAnsi="宋体" w:cs="宋体"/>
                <w:i/>
                <w:color w:val="000000"/>
                <w:sz w:val="24"/>
                <w:szCs w:val="24"/>
                <w:u w:val="single"/>
              </w:rPr>
              <w:t xml:space="preserve">光模块，数量≥2个，传输距离≥1</w:t>
            </w:r>
            <w:r>
              <w:rPr>
                <w:rFonts w:ascii="宋体" w:hAnsi="宋体" w:cs="宋体"/>
                <w:i/>
                <w:color w:val="000000"/>
                <w:sz w:val="24"/>
                <w:szCs w:val="24"/>
                <w:u w:val="single"/>
              </w:rPr>
              <w:t xml:space="preserve">0KM</w:t>
            </w:r>
            <w:r>
              <w:rPr>
                <w:rFonts w:hint="eastAsia" w:ascii="宋体" w:hAnsi="宋体" w:cs="宋体"/>
                <w:i/>
                <w:color w:val="000000"/>
                <w:sz w:val="24"/>
                <w:szCs w:val="24"/>
                <w:u w:val="single"/>
              </w:rPr>
              <w:t xml:space="preserve">。</w:t>
            </w:r>
            <w:r>
              <w:rPr>
                <w:rFonts w:hint="eastAsia" w:ascii="宋体" w:hAnsi="宋体" w:cs="宋体"/>
                <w:b/>
                <w:bCs/>
                <w:i/>
                <w:color w:val="000000"/>
                <w:sz w:val="24"/>
                <w:szCs w:val="24"/>
                <w:u w:val="single"/>
              </w:rPr>
              <w:t xml:space="preserve">（提供承诺函扫描上传）</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0、</w:t>
            </w:r>
            <w:r>
              <w:rPr>
                <w:rFonts w:hint="eastAsia" w:ascii="宋体" w:hAnsi="宋体" w:cs="宋体"/>
                <w:color w:val="000000"/>
                <w:sz w:val="24"/>
                <w:szCs w:val="24"/>
              </w:rPr>
              <w:t xml:space="preserve">设备需满足：设备关键芯片（主控CPU芯片）采用国产化芯片。</w:t>
            </w:r>
            <w:r/>
          </w:p>
        </w:tc>
      </w:tr>
    </w:tbl>
    <w:p>
      <w:pPr>
        <w:rPr>
          <w:sz w:val="24"/>
          <w:szCs w:val="24"/>
        </w:rPr>
      </w:pPr>
      <w:r>
        <w:rPr>
          <w:sz w:val="24"/>
          <w:szCs w:val="24"/>
        </w:rPr>
      </w:r>
      <w:r/>
    </w:p>
    <w:p>
      <w:pPr>
        <w:pStyle w:val="1060"/>
        <w:jc w:val="left"/>
        <w:spacing w:before="0" w:after="0" w:line="360" w:lineRule="auto"/>
        <w:rPr>
          <w:sz w:val="24"/>
          <w:szCs w:val="24"/>
        </w:rPr>
      </w:pPr>
      <w:r>
        <w:rPr>
          <w:rFonts w:ascii="宋体" w:hAnsi="宋体" w:eastAsia="宋体" w:cs="宋体"/>
          <w:sz w:val="24"/>
          <w:szCs w:val="24"/>
        </w:rPr>
        <w:t xml:space="preserve">（</w:t>
      </w:r>
      <w:r>
        <w:rPr>
          <w:rFonts w:hint="eastAsia" w:ascii="宋体" w:hAnsi="宋体" w:eastAsia="宋体" w:cs="宋体"/>
          <w:sz w:val="24"/>
          <w:szCs w:val="24"/>
        </w:rPr>
        <w:t xml:space="preserve">2）服务要求</w:t>
      </w:r>
      <w:r/>
    </w:p>
    <w:tbl>
      <w:tblPr>
        <w:tblStyle w:val="1069"/>
        <w:tblW w:w="9033" w:type="dxa"/>
        <w:jc w:val="center"/>
        <w:tblLayout w:type="fixed"/>
        <w:tblCellMar>
          <w:left w:w="0" w:type="dxa"/>
          <w:top w:w="0" w:type="dxa"/>
          <w:right w:w="0" w:type="dxa"/>
          <w:bottom w:w="0" w:type="dxa"/>
        </w:tblCellMar>
        <w:tblLook w:val="04A0" w:firstRow="1" w:lastRow="0" w:firstColumn="1" w:lastColumn="0" w:noHBand="0" w:noVBand="1"/>
      </w:tblPr>
      <w:tblGrid>
        <w:gridCol w:w="984"/>
        <w:gridCol w:w="8049"/>
      </w:tblGrid>
      <w:tr>
        <w:trPr>
          <w:jc w:val="center"/>
          <w:trHeight w:val="714"/>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84" w:type="dxa"/>
            <w:vAlign w:val="center"/>
            <w:vMerge w:val="restart"/>
            <w:textDirection w:val="lrTb"/>
            <w:noWrap w:val="false"/>
          </w:tcPr>
          <w:p>
            <w:pPr>
              <w:jc w:val="center"/>
              <w:spacing w:before="120" w:after="120"/>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系统对接需求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9" w:type="dxa"/>
            <w:vAlign w:val="center"/>
            <w:textDirection w:val="lrTb"/>
            <w:noWrap w:val="false"/>
          </w:tcPr>
          <w:p>
            <w:pPr>
              <w:ind w:left="-2"/>
              <w:rPr>
                <w:rFonts w:ascii="宋体" w:hAnsi="宋体" w:cs="宋体"/>
                <w:i/>
                <w:iCs/>
                <w:color w:val="000000" w:themeColor="text1"/>
                <w:sz w:val="24"/>
                <w:szCs w:val="24"/>
                <w:u w:val="single"/>
              </w:rPr>
            </w:pPr>
            <w:r>
              <w:rPr>
                <w:rFonts w:hint="eastAsia" w:ascii="宋体" w:hAnsi="宋体" w:cs="宋体"/>
                <w:i/>
                <w:iCs/>
                <w:color w:val="000000" w:themeColor="text1"/>
                <w:sz w:val="24"/>
                <w:szCs w:val="24"/>
                <w:u w:val="single"/>
              </w:rPr>
              <w:t xml:space="preserve">1、线路开通时间：自接到采购人通知后，</w:t>
            </w:r>
            <w:r>
              <w:rPr>
                <w:rFonts w:ascii="宋体" w:hAnsi="宋体" w:cs="宋体"/>
                <w:i/>
                <w:iCs/>
                <w:color w:val="000000" w:themeColor="text1"/>
                <w:sz w:val="24"/>
                <w:szCs w:val="24"/>
                <w:u w:val="single"/>
              </w:rPr>
              <w:t xml:space="preserve">7</w:t>
            </w:r>
            <w:r>
              <w:rPr>
                <w:rFonts w:hint="eastAsia" w:ascii="宋体" w:hAnsi="宋体" w:cs="宋体"/>
                <w:i/>
                <w:iCs/>
                <w:color w:val="000000" w:themeColor="text1"/>
                <w:sz w:val="24"/>
                <w:szCs w:val="24"/>
                <w:u w:val="single"/>
              </w:rPr>
              <w:t xml:space="preserve">个工作日内完成线路开通工作；对于应急线路，投标人在接到通知后24小时内开通。</w:t>
            </w:r>
            <w:r>
              <w:rPr>
                <w:rFonts w:hint="eastAsia" w:ascii="宋体" w:hAnsi="宋体" w:cs="宋体"/>
                <w:b/>
                <w:bCs/>
                <w:i/>
                <w:color w:val="000000"/>
                <w:sz w:val="24"/>
                <w:szCs w:val="24"/>
                <w:u w:val="single"/>
              </w:rPr>
              <w:t xml:space="preserve">（提供承诺函扫描上传）</w:t>
            </w:r>
            <w:r/>
          </w:p>
        </w:tc>
      </w:tr>
      <w:tr>
        <w:trPr>
          <w:jc w:val="center"/>
          <w:trHeight w:val="10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84"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9" w:type="dxa"/>
            <w:vAlign w:val="center"/>
            <w:textDirection w:val="lrTb"/>
            <w:noWrap w:val="false"/>
          </w:tcPr>
          <w:p>
            <w:pPr>
              <w:rPr>
                <w:rFonts w:ascii="宋体" w:hAnsi="宋体" w:cs="宋体"/>
                <w:i/>
                <w:iCs/>
                <w:color w:val="000000" w:themeColor="text1"/>
                <w:sz w:val="24"/>
                <w:szCs w:val="24"/>
                <w:u w:val="single"/>
              </w:rPr>
            </w:pPr>
            <w:r>
              <w:rPr>
                <w:rFonts w:hint="eastAsia" w:ascii="宋体" w:hAnsi="宋体" w:cs="宋体"/>
                <w:i/>
                <w:iCs/>
                <w:color w:val="000000" w:themeColor="text1"/>
                <w:sz w:val="24"/>
                <w:szCs w:val="24"/>
                <w:u w:val="single"/>
              </w:rPr>
              <w:t xml:space="preserve">2、对于既有线路需进行割接的，投标人须于合同签订后3个工作日内向采购人提交详细割接方案，经采购人同意后于</w:t>
            </w:r>
            <w:r>
              <w:rPr>
                <w:rFonts w:ascii="宋体" w:hAnsi="宋体" w:cs="宋体"/>
                <w:i/>
                <w:iCs/>
                <w:color w:val="000000" w:themeColor="text1"/>
                <w:sz w:val="24"/>
                <w:szCs w:val="24"/>
                <w:u w:val="single"/>
              </w:rPr>
              <w:t xml:space="preserve">7</w:t>
            </w:r>
            <w:r>
              <w:rPr>
                <w:rFonts w:hint="eastAsia" w:ascii="宋体" w:hAnsi="宋体" w:cs="宋体"/>
                <w:i/>
                <w:iCs/>
                <w:color w:val="000000" w:themeColor="text1"/>
                <w:sz w:val="24"/>
                <w:szCs w:val="24"/>
                <w:u w:val="single"/>
              </w:rPr>
              <w:t xml:space="preserve">个工作日内完成割接工作，割接过程中须保证原有业务中断时间不超过0.5小时，且相关协调工作均由投标人承担。</w:t>
            </w:r>
            <w:r>
              <w:rPr>
                <w:rFonts w:hint="eastAsia" w:ascii="宋体" w:hAnsi="宋体" w:cs="宋体"/>
                <w:b/>
                <w:bCs/>
                <w:i/>
                <w:color w:val="000000"/>
                <w:sz w:val="24"/>
                <w:szCs w:val="24"/>
                <w:u w:val="single"/>
              </w:rPr>
              <w:t xml:space="preserve">（提供承诺函扫描上传）</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84" w:type="dxa"/>
            <w:vAlign w:val="center"/>
            <w:vMerge w:val="restart"/>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项目实施需求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9" w:type="dxa"/>
            <w:vAlign w:val="center"/>
            <w:textDirection w:val="lrTb"/>
            <w:noWrap w:val="false"/>
          </w:tcPr>
          <w:p>
            <w:pPr>
              <w:rPr>
                <w:rFonts w:ascii="宋体" w:hAnsi="宋体" w:cs="宋体"/>
                <w:iCs/>
                <w:color w:val="000000" w:themeColor="text1"/>
                <w:sz w:val="24"/>
                <w:szCs w:val="24"/>
              </w:rPr>
            </w:pPr>
            <w:r>
              <w:rPr>
                <w:rFonts w:hint="eastAsia" w:ascii="宋体" w:hAnsi="宋体" w:cs="宋体"/>
                <w:iCs/>
                <w:color w:val="000000" w:themeColor="text1"/>
                <w:sz w:val="24"/>
                <w:szCs w:val="24"/>
              </w:rPr>
              <w:t xml:space="preserve">1、线路拆除时间：自接到采购人通知后，5个工作日内完成线路拆除工作。</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84"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9" w:type="dxa"/>
            <w:vAlign w:val="center"/>
            <w:textDirection w:val="lrTb"/>
            <w:noWrap w:val="false"/>
          </w:tcPr>
          <w:p>
            <w:pPr>
              <w:rPr>
                <w:rFonts w:ascii="宋体" w:hAnsi="宋体" w:cs="宋体"/>
                <w:iCs/>
                <w:color w:val="000000" w:themeColor="text1"/>
                <w:sz w:val="24"/>
                <w:szCs w:val="24"/>
              </w:rPr>
            </w:pPr>
            <w:r>
              <w:rPr>
                <w:rFonts w:hint="eastAsia" w:ascii="宋体" w:hAnsi="宋体" w:cs="宋体"/>
                <w:iCs/>
                <w:color w:val="000000" w:themeColor="text1"/>
                <w:sz w:val="24"/>
                <w:szCs w:val="24"/>
              </w:rPr>
              <w:t xml:space="preserve">2、线路迁移时间：自接到采购人通知后，5个工作日内完成线路迁移工作。</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84" w:type="dxa"/>
            <w:vAlign w:val="center"/>
            <w:vMerge w:val="restart"/>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项目管理需求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9"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1、对于采购人要求的线路开通端地址，投标人须完全满足，相关进场协调工作及费用由投标人自行承担。</w:t>
            </w:r>
            <w:r/>
          </w:p>
        </w:tc>
      </w:tr>
      <w:tr>
        <w:trPr>
          <w:jc w:val="center"/>
          <w:trHeight w:val="406"/>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84"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9" w:type="dxa"/>
            <w:vAlign w:val="center"/>
            <w:textDirection w:val="lrTb"/>
            <w:noWrap w:val="false"/>
          </w:tcPr>
          <w:p>
            <w:pPr>
              <w:ind w:left="31"/>
              <w:spacing w:before="120" w:after="120"/>
              <w:rPr>
                <w:rFonts w:ascii="宋体" w:hAnsi="宋体" w:cs="宋体"/>
                <w:color w:val="000000" w:themeColor="text1"/>
                <w:sz w:val="24"/>
                <w:szCs w:val="24"/>
              </w:rPr>
            </w:pPr>
            <w:r>
              <w:rPr>
                <w:rFonts w:hint="eastAsia" w:ascii="宋体" w:hAnsi="宋体" w:cs="宋体"/>
                <w:iCs/>
                <w:color w:val="000000" w:themeColor="text1"/>
                <w:sz w:val="24"/>
                <w:szCs w:val="24"/>
              </w:rPr>
              <w:t xml:space="preserve">2、每月向采购人提供通信线路运行质量报告，（报告内容包括但不限于通信线路的基础信息、各线路的光衰、网络时延、丢包率等状态信息、新增拆机移机等租赁服务信息等），确保通信线路各项运行指标正常。通信线路出现重大故障时，通信备用线路以及端点直连网络设备的备品备件能随时应急启用。要求通信备用线路可用率平均达到99.99%；通信中断4个小时内线路抢修恢复率为100%；平均恢复时间小于2小时。</w:t>
            </w:r>
            <w:r/>
          </w:p>
        </w:tc>
      </w:tr>
      <w:tr>
        <w:trPr>
          <w:jc w:val="center"/>
          <w:trHeight w:val="406"/>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84" w:type="dxa"/>
            <w:vAlign w:val="center"/>
            <w:vMerge w:val="restart"/>
            <w:textDirection w:val="lrTb"/>
            <w:noWrap w:val="false"/>
          </w:tcPr>
          <w:p>
            <w:pPr>
              <w:jc w:val="center"/>
              <w:spacing w:before="120" w:after="120"/>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运维服务需求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9" w:type="dxa"/>
            <w:vAlign w:val="center"/>
            <w:textDirection w:val="lrTb"/>
            <w:noWrap w:val="false"/>
          </w:tcPr>
          <w:p>
            <w:pPr>
              <w:spacing w:before="120" w:after="120"/>
              <w:rPr>
                <w:rFonts w:ascii="宋体" w:hAnsi="宋体" w:cs="宋体"/>
                <w:color w:val="000000" w:themeColor="text1"/>
                <w:sz w:val="24"/>
                <w:szCs w:val="24"/>
              </w:rPr>
            </w:pPr>
            <w:r>
              <w:rPr>
                <w:rFonts w:hint="eastAsia" w:ascii="宋体" w:hAnsi="宋体" w:cs="宋体"/>
                <w:color w:val="000000" w:themeColor="text1"/>
                <w:sz w:val="24"/>
                <w:szCs w:val="24"/>
              </w:rPr>
              <w:t xml:space="preserve">1、提供每月常态化全部通信线路的巡检、维护服务，每月巡检次数不少于1次，并提供全面巡检报告，巡检内容包括但不限于通信线路物理状态、行业通用技术指标、采购人定制的相关通信线路配置管理规定的合规性检查、通信线路台账、新增拆机移机情况、租费核准等，提供24小时统一故障申告服务电话，提供故障响应流程和服务承诺。</w:t>
            </w:r>
            <w:r/>
          </w:p>
        </w:tc>
      </w:tr>
      <w:tr>
        <w:trPr>
          <w:jc w:val="center"/>
          <w:trHeight w:val="16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84"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9"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2、除人为破坏和不可抗力影响外，如通信线路发生大面积中断故障（故障比例达到线路总数3%及以上），时间连续超过4小时，投标人扣除1个月的全部通信线路租用费用；达12小时，投标人扣除2个月的全部通信线路租用费用；一年内发生大面积中断超过2次，采购人有权终止合同，投标人须承担相关法律责任。中断故障时间的计算，以投标人接到采购人通知或投标人查出中断的时间起至恢复通信服务时止。</w:t>
            </w:r>
            <w:r/>
          </w:p>
        </w:tc>
      </w:tr>
      <w:tr>
        <w:trPr>
          <w:jc w:val="center"/>
          <w:trHeight w:val="135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84"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9" w:type="dxa"/>
            <w:vAlign w:val="center"/>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t xml:space="preserve">3、</w:t>
            </w:r>
            <w:r>
              <w:rPr>
                <w:rFonts w:hint="eastAsia" w:ascii="宋体" w:hAnsi="宋体" w:cs="宋体"/>
                <w:color w:val="000000" w:themeColor="text1"/>
                <w:sz w:val="24"/>
                <w:szCs w:val="24"/>
              </w:rPr>
              <w:t xml:space="preserve">除人为破坏和不可抗力影响外，如通信线路发生一般中断故障（单条线路中断时间达10分钟计为1次）每达3次，根据投标人的应答价格，扣除该条线路当月线路租赁费。若因市政等原因导致的长时间断网（超过1个月）投标人需提前报备并提供解决方案，如无解决方案将作为停机处理并扣除相应的租赁费用。</w:t>
            </w:r>
            <w:r/>
          </w:p>
        </w:tc>
      </w:tr>
      <w:tr>
        <w:trPr>
          <w:jc w:val="center"/>
          <w:trHeight w:val="189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84" w:type="dxa"/>
            <w:vAlign w:val="center"/>
            <w:vMerge w:val="restart"/>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应急保障需求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9" w:type="dxa"/>
            <w:vAlign w:val="center"/>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投标人需根据采购人的要求，及时派出技术维护人员到重要保障任务现场提供服务保障，遇有重大活动、会议任务，需提前检查线路及设备，并配备2名现场值守人员，遇到网络故障立即处置；在采购人提出的重要保障任务中，如发生通信线路或相关网络设备故障造成采购人使用受到严重影响，根据投标人的应答价格扣除相应通信线路1月的线路租赁费用，如果一年内发生超过3次，扣除相应通信线路1年的线路租赁费用。</w:t>
            </w:r>
            <w:r/>
          </w:p>
        </w:tc>
      </w:tr>
      <w:tr>
        <w:trPr>
          <w:jc w:val="center"/>
          <w:trHeight w:val="540"/>
        </w:trPr>
        <w:tc>
          <w:tcPr>
            <w:tcBorders>
              <w:top w:val="single" w:color="000000" w:sz="4" w:space="0"/>
              <w:left w:val="single" w:color="000000" w:sz="4" w:space="0"/>
              <w:bottom w:val="single" w:color="auto" w:sz="4" w:space="0"/>
              <w:right w:val="single" w:color="000000" w:sz="4" w:space="0"/>
            </w:tcBorders>
            <w:tcMar>
              <w:left w:w="10" w:type="dxa"/>
              <w:top w:w="10" w:type="dxa"/>
              <w:right w:w="10" w:type="dxa"/>
            </w:tcMar>
            <w:tcW w:w="984"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auto" w:sz="4" w:space="0"/>
              <w:right w:val="single" w:color="000000" w:sz="4" w:space="0"/>
            </w:tcBorders>
            <w:tcMar>
              <w:left w:w="10" w:type="dxa"/>
              <w:top w:w="10" w:type="dxa"/>
              <w:right w:w="10" w:type="dxa"/>
            </w:tcMar>
            <w:tcW w:w="8049"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2、投标人定期按照采购人要求对机房于终端之间的连接光纤检查和免费整理一次。</w:t>
            </w:r>
            <w:r/>
          </w:p>
        </w:tc>
      </w:tr>
      <w:tr>
        <w:trPr>
          <w:jc w:val="center"/>
          <w:trHeight w:val="770"/>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984" w:type="dxa"/>
            <w:vAlign w:val="center"/>
            <w:vMerge w:val="restart"/>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售后服务要求</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8049" w:type="dxa"/>
            <w:vAlign w:val="center"/>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投标人提供售后服务保障体系和完整合理的售后服务，售后服务中需包含服务内容、响应时间、故障处理、恢复时效、人员力量、支撑保障等内容。</w:t>
            </w:r>
            <w:r/>
          </w:p>
        </w:tc>
      </w:tr>
      <w:tr>
        <w:trPr>
          <w:jc w:val="center"/>
          <w:trHeight w:val="540"/>
        </w:trPr>
        <w:tc>
          <w:tcPr>
            <w:tcBorders>
              <w:top w:val="single" w:color="auto" w:sz="4" w:space="0"/>
              <w:left w:val="single" w:color="auto" w:sz="4" w:space="0"/>
              <w:bottom w:val="single" w:color="auto" w:sz="4" w:space="0"/>
              <w:right w:val="single" w:color="000000" w:sz="4" w:space="0"/>
            </w:tcBorders>
            <w:tcMar>
              <w:left w:w="10" w:type="dxa"/>
              <w:top w:w="10" w:type="dxa"/>
              <w:right w:w="10" w:type="dxa"/>
            </w:tcMar>
            <w:tcW w:w="984"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auto" w:sz="4" w:space="0"/>
              <w:left w:val="single" w:color="000000" w:sz="4" w:space="0"/>
              <w:bottom w:val="single" w:color="auto" w:sz="4" w:space="0"/>
              <w:right w:val="single" w:color="000000" w:sz="4" w:space="0"/>
            </w:tcBorders>
            <w:tcMar>
              <w:left w:w="10" w:type="dxa"/>
              <w:top w:w="10" w:type="dxa"/>
              <w:right w:w="10" w:type="dxa"/>
            </w:tcMar>
            <w:tcW w:w="8049" w:type="dxa"/>
            <w:vAlign w:val="center"/>
            <w:textDirection w:val="lrTb"/>
            <w:noWrap w:val="false"/>
          </w:tcPr>
          <w:p>
            <w:pPr>
              <w:rPr>
                <w:rFonts w:ascii="宋体" w:hAnsi="宋体" w:cs="宋体"/>
                <w:color w:val="000000" w:themeColor="text1"/>
                <w:sz w:val="24"/>
                <w:szCs w:val="24"/>
              </w:rPr>
            </w:pPr>
            <w:r>
              <w:rPr>
                <w:rFonts w:hint="eastAsia" w:ascii="宋体" w:hAnsi="宋体" w:cs="宋体"/>
                <w:iCs/>
                <w:color w:val="000000" w:themeColor="text1"/>
                <w:sz w:val="24"/>
                <w:szCs w:val="24"/>
              </w:rPr>
              <w:t xml:space="preserve">2、本项目实施和维护过程中产生一切其他费用由中标人承担，与采购人无关。</w:t>
            </w:r>
            <w:r/>
          </w:p>
        </w:tc>
      </w:tr>
      <w:tr>
        <w:trPr>
          <w:jc w:val="center"/>
          <w:trHeight w:val="285"/>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984" w:type="dxa"/>
            <w:vAlign w:val="center"/>
            <w:vMerge w:val="restart"/>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其他要求</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8049" w:type="dxa"/>
            <w:vAlign w:val="center"/>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合同签订时，采购人将根据既有租赁线路实际使用情况，明确本项目初始线路分配清单，后续如有变化，根据采购人提供的线路开通或拆停单实时纳入本项目中实施，并据实结算费用。</w:t>
            </w:r>
            <w:r/>
          </w:p>
        </w:tc>
      </w:tr>
      <w:tr>
        <w:trPr>
          <w:jc w:val="center"/>
          <w:trHeight w:val="540"/>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984"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8049"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2、各类线路租赁单价应包含线路费用、相关设备费用、施工费用、开户费用等所有费用，投标人不得再收取额外其他费用。</w:t>
            </w:r>
            <w:r/>
          </w:p>
        </w:tc>
      </w:tr>
      <w:tr>
        <w:trPr>
          <w:jc w:val="center"/>
          <w:trHeight w:val="540"/>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984"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8049"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3、项目实施过程中，投标人须严格按照安全施工相关要求开展工作，如发生任何施工事故，后果均由投标人自行承担。</w:t>
            </w:r>
            <w:r/>
          </w:p>
        </w:tc>
      </w:tr>
      <w:tr>
        <w:trPr>
          <w:jc w:val="center"/>
          <w:trHeight w:val="406"/>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984"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8049" w:type="dxa"/>
            <w:vAlign w:val="center"/>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t xml:space="preserve">4、</w:t>
            </w:r>
            <w:r>
              <w:rPr>
                <w:rFonts w:hint="eastAsia" w:ascii="宋体" w:hAnsi="宋体" w:cs="宋体"/>
                <w:color w:val="000000" w:themeColor="text1"/>
                <w:sz w:val="24"/>
                <w:szCs w:val="24"/>
              </w:rPr>
              <w:t xml:space="preserve">投标人如遇必要的如线路改造、线路路由优化等网络割接对采购人线路有影响时，须提前5个工作日以书面方式（加盖公章）告知采购人，经采购人同意后，才可实施。</w:t>
            </w:r>
            <w:r/>
          </w:p>
        </w:tc>
      </w:tr>
      <w:tr>
        <w:trPr>
          <w:jc w:val="center"/>
          <w:trHeight w:val="810"/>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984"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8049"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5、投标人在投标文件中的所有承诺、方案等均须完全履约。在合同签订后，采购人将对投标文件中的内容进行核实，如有不实，视为虚假承诺，采购人有权取消合同，并按照投标人虚假承诺应标处理。</w:t>
            </w:r>
            <w:r/>
          </w:p>
        </w:tc>
      </w:tr>
      <w:tr>
        <w:trPr>
          <w:jc w:val="center"/>
          <w:trHeight w:val="1327"/>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984"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8049" w:type="dxa"/>
            <w:vAlign w:val="center"/>
            <w:textDirection w:val="lrTb"/>
            <w:noWrap w:val="false"/>
          </w:tcPr>
          <w:p>
            <w:pPr>
              <w:rPr>
                <w:rFonts w:ascii="宋体" w:hAnsi="宋体" w:cs="宋体"/>
                <w:color w:val="000000" w:themeColor="text1"/>
                <w:sz w:val="24"/>
                <w:szCs w:val="24"/>
              </w:rPr>
            </w:pPr>
            <w:r>
              <w:rPr>
                <w:rFonts w:hint="eastAsia" w:ascii="宋体" w:hAnsi="宋体" w:cs="宋体"/>
                <w:iCs/>
                <w:color w:val="000000" w:themeColor="text1"/>
                <w:sz w:val="24"/>
                <w:szCs w:val="24"/>
              </w:rPr>
              <w:t xml:space="preserve">6、投标人须接受采购人的数据与网络安全保密管理与监督、人员与公司背景审查、数据与网络保密制度审查等。项目服务期间，如果投标人发生与公安数据相关的安全违规或泄密事件，采购人有权终止合同，取消相关款项支付，并追究投标人的法律责任。</w:t>
            </w:r>
            <w:r/>
          </w:p>
        </w:tc>
      </w:tr>
    </w:tbl>
    <w:p>
      <w:pPr>
        <w:pStyle w:val="1328"/>
        <w:ind w:left="120" w:firstLine="360"/>
        <w:spacing w:line="0" w:lineRule="atLeast"/>
        <w:rPr>
          <w:rFonts w:hint="eastAsia" w:ascii="宋体" w:hAnsi="宋体"/>
          <w:bCs/>
          <w:color w:val="000000"/>
          <w:sz w:val="24"/>
          <w:szCs w:val="24"/>
        </w:rPr>
      </w:pPr>
      <w:r>
        <w:rPr>
          <w:rFonts w:hint="eastAsia" w:ascii="宋体" w:hAnsi="宋体"/>
          <w:bCs/>
          <w:color w:val="000000"/>
          <w:sz w:val="24"/>
          <w:szCs w:val="24"/>
        </w:rPr>
      </w:r>
      <w:r/>
    </w:p>
    <w:p>
      <w:pPr>
        <w:keepLines/>
        <w:keepNext/>
        <w:pageBreakBefore w:val="0"/>
        <w:spacing w:before="360" w:after="181"/>
        <w:widowControl w:val="off"/>
        <w:rPr>
          <w:rFonts w:ascii="微软雅黑" w:hAnsi="微软雅黑" w:eastAsia="微软雅黑" w:cs="微软雅黑"/>
          <w:sz w:val="24"/>
          <w:szCs w:val="24"/>
        </w:rPr>
        <w:outlineLvl w:val="1"/>
      </w:pPr>
      <w:r>
        <w:rPr>
          <w:rFonts w:ascii="宋体" w:hAnsi="宋体" w:cs="宋体"/>
          <w:sz w:val="24"/>
          <w:szCs w:val="24"/>
        </w:rPr>
        <w:t xml:space="preserve">3、</w:t>
      </w:r>
      <w:r>
        <w:rPr>
          <w:rFonts w:hint="eastAsia" w:ascii="宋体" w:hAnsi="宋体" w:cs="宋体"/>
          <w:color w:val="ff0000"/>
          <w:sz w:val="24"/>
          <w:szCs w:val="24"/>
        </w:rPr>
        <w:t xml:space="preserve">包3：</w:t>
      </w:r>
      <w:r>
        <w:rPr>
          <w:rFonts w:hint="eastAsia" w:ascii="微软雅黑" w:hAnsi="微软雅黑" w:eastAsia="微软雅黑" w:cs="微软雅黑"/>
          <w:sz w:val="24"/>
          <w:szCs w:val="24"/>
        </w:rPr>
        <w:t xml:space="preserve">横向部门备用线路和数据解包引流分发服务</w:t>
      </w:r>
      <w:r/>
    </w:p>
    <w:p>
      <w:pPr>
        <w:keepLines/>
        <w:keepNext/>
        <w:pageBreakBefore w:val="0"/>
        <w:spacing w:before="181" w:after="200"/>
        <w:widowControl w:val="off"/>
        <w:rPr>
          <w:rFonts w:ascii="微软雅黑" w:hAnsi="微软雅黑" w:eastAsia="微软雅黑" w:cs="微软雅黑"/>
          <w:sz w:val="24"/>
          <w:szCs w:val="24"/>
        </w:rPr>
        <w:outlineLvl w:val="2"/>
      </w:pPr>
      <w:r>
        <w:rPr>
          <w:rFonts w:hint="eastAsia" w:ascii="宋体" w:hAnsi="宋体" w:cs="宋体"/>
          <w:sz w:val="24"/>
          <w:szCs w:val="24"/>
        </w:rPr>
        <w:t xml:space="preserve">（</w:t>
      </w:r>
      <w:r>
        <w:rPr>
          <w:rFonts w:hint="eastAsia" w:ascii="Arial" w:hAnsi="Arial" w:cs="Arial" w:eastAsiaTheme="minorEastAsia"/>
          <w:sz w:val="24"/>
          <w:szCs w:val="24"/>
        </w:rPr>
        <w:t xml:space="preserve">1</w:t>
      </w:r>
      <w:r>
        <w:rPr>
          <w:rFonts w:hint="eastAsia" w:ascii="宋体" w:hAnsi="宋体" w:cs="宋体"/>
          <w:sz w:val="24"/>
          <w:szCs w:val="24"/>
        </w:rPr>
        <w:t xml:space="preserve">）清单及参数</w:t>
      </w:r>
      <w:r/>
    </w:p>
    <w:tbl>
      <w:tblPr>
        <w:tblStyle w:val="1069"/>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3"/>
        <w:gridCol w:w="1290"/>
        <w:gridCol w:w="7288"/>
      </w:tblGrid>
      <w:tr>
        <w:trPr>
          <w:jc w:val="center"/>
          <w:trHeight w:val="3418"/>
        </w:trPr>
        <w:tc>
          <w:tcPr>
            <w:shd w:val="clear" w:color="auto" w:fill="auto"/>
            <w:tcW w:w="43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W w:w="129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横向部门数据传输线路服务</w:t>
            </w:r>
            <w:r/>
          </w:p>
        </w:tc>
        <w:tc>
          <w:tcPr>
            <w:shd w:val="clear" w:color="auto" w:fill="auto"/>
            <w:tcW w:w="7288" w:type="dxa"/>
            <w:vAlign w:val="center"/>
            <w:textDirection w:val="lrTb"/>
            <w:noWrap w:val="false"/>
          </w:tcPr>
          <w:p>
            <w:pPr>
              <w:jc w:val="left"/>
              <w:widowControl/>
              <w:rPr>
                <w:rFonts w:hint="eastAsia" w:ascii="宋体" w:hAnsi="宋体" w:cs="宋体"/>
                <w:b/>
                <w:bCs/>
                <w:i/>
                <w:color w:val="000000"/>
                <w:sz w:val="24"/>
                <w:szCs w:val="24"/>
                <w:u w:val="single"/>
              </w:rPr>
            </w:pPr>
            <w:r>
              <w:rPr>
                <w:rFonts w:hint="eastAsia" w:ascii="宋体" w:hAnsi="宋体" w:cs="宋体"/>
                <w:i/>
                <w:iCs/>
                <w:color w:val="000000"/>
                <w:sz w:val="24"/>
                <w:szCs w:val="24"/>
                <w:u w:val="single"/>
              </w:rPr>
              <w:t xml:space="preserve">1、提供</w:t>
            </w:r>
            <w:r>
              <w:rPr>
                <w:rFonts w:hint="eastAsia" w:ascii="宋体" w:hAnsi="宋体" w:cs="宋体"/>
                <w:i/>
                <w:color w:val="000000"/>
                <w:sz w:val="24"/>
                <w:szCs w:val="24"/>
                <w:u w:val="single"/>
              </w:rPr>
              <w:t xml:space="preserve">≥4</w:t>
            </w:r>
            <w:r>
              <w:rPr>
                <w:rFonts w:ascii="宋体" w:hAnsi="宋体" w:cs="宋体"/>
                <w:i/>
                <w:color w:val="000000"/>
                <w:sz w:val="24"/>
                <w:szCs w:val="24"/>
                <w:u w:val="single"/>
              </w:rPr>
              <w:t xml:space="preserve">5</w:t>
            </w:r>
            <w:r>
              <w:rPr>
                <w:rFonts w:hint="eastAsia" w:ascii="宋体" w:hAnsi="宋体" w:cs="宋体"/>
                <w:i/>
                <w:color w:val="000000"/>
                <w:sz w:val="24"/>
                <w:szCs w:val="24"/>
                <w:u w:val="single"/>
              </w:rPr>
              <w:t xml:space="preserve">条裸光纤接入线路，具体点位信息由采购人确定，服务周期内可根据采购人需求调整点位物理地址。</w:t>
            </w:r>
            <w:r>
              <w:rPr>
                <w:rFonts w:hint="eastAsia" w:ascii="宋体" w:hAnsi="宋体" w:cs="宋体"/>
                <w:b/>
                <w:bCs/>
                <w:i/>
                <w:color w:val="000000"/>
                <w:sz w:val="24"/>
                <w:szCs w:val="24"/>
                <w:u w:val="single"/>
              </w:rPr>
              <w:t xml:space="preserve">（提供承诺函扫描上传）</w:t>
            </w:r>
            <w:r>
              <w:rPr>
                <w:rFonts w:hint="eastAsia" w:ascii="宋体" w:hAnsi="宋体" w:cs="宋体"/>
                <w:b/>
                <w:bCs/>
                <w:i/>
                <w:color w:val="000000"/>
                <w:sz w:val="24"/>
                <w:szCs w:val="24"/>
                <w:u w:val="single"/>
              </w:rPr>
              <w:br/>
            </w:r>
            <w:r>
              <w:rPr>
                <w:rFonts w:hint="eastAsia" w:ascii="宋体" w:hAnsi="宋体" w:cs="宋体"/>
                <w:i/>
                <w:color w:val="000000"/>
                <w:sz w:val="24"/>
                <w:szCs w:val="24"/>
                <w:u w:val="single"/>
              </w:rPr>
              <w:t xml:space="preserve">2、提供端到端模式的裸光纤服务，工作波长兼容1310nm/1550nm，根据两端模块可支持千兆、万兆速率。</w:t>
            </w:r>
            <w:r>
              <w:rPr>
                <w:rFonts w:hint="eastAsia" w:ascii="宋体" w:hAnsi="宋体" w:cs="宋体"/>
                <w:b/>
                <w:bCs/>
                <w:i/>
                <w:color w:val="000000"/>
                <w:sz w:val="24"/>
                <w:szCs w:val="24"/>
                <w:u w:val="single"/>
              </w:rPr>
              <w:t xml:space="preserve">（提供承诺函扫描上传）</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3、投标人须提供7×24小时的监控和维护服务，在服务期内接到采购人的报修电话，投标人的技术服务人员须在30分钟内响应，并在1小时内赶到使用现场实施维修，2小时内修复故障，1天内提供书面故障检修报告。</w:t>
            </w:r>
            <w:r>
              <w:rPr>
                <w:rFonts w:hint="eastAsia" w:ascii="宋体" w:hAnsi="宋体" w:cs="宋体"/>
                <w:color w:val="000000"/>
                <w:sz w:val="24"/>
                <w:szCs w:val="24"/>
              </w:rPr>
              <w:br/>
            </w:r>
            <w:r>
              <w:rPr>
                <w:rFonts w:hint="eastAsia" w:ascii="宋体" w:hAnsi="宋体" w:cs="宋体"/>
                <w:color w:val="000000"/>
                <w:sz w:val="24"/>
                <w:szCs w:val="24"/>
              </w:rPr>
              <w:t xml:space="preserve">4、光纤布线接入要符合国家有关光纤布线规范。所有光纤引入机房交换机柜，并可直接连接到交换机光纤端口。光纤接入所需设备由投标人提供，不再另外收费。</w:t>
            </w:r>
            <w:r/>
          </w:p>
        </w:tc>
      </w:tr>
      <w:tr>
        <w:trPr>
          <w:jc w:val="center"/>
          <w:trHeight w:val="1701"/>
        </w:trPr>
        <w:tc>
          <w:tcPr>
            <w:shd w:val="clear" w:color="auto" w:fill="auto"/>
            <w:tcW w:w="43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W w:w="129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SRv6数据解包引流分发服务</w:t>
            </w:r>
            <w:r/>
          </w:p>
        </w:tc>
        <w:tc>
          <w:tcPr>
            <w:shd w:val="clear" w:color="auto" w:fill="auto"/>
            <w:tcW w:w="7288" w:type="dxa"/>
            <w:vAlign w:val="center"/>
            <w:textDirection w:val="lrTb"/>
            <w:noWrap w:val="false"/>
          </w:tcPr>
          <w:p>
            <w:pPr>
              <w:jc w:val="left"/>
              <w:widowControl/>
              <w:rPr>
                <w:rFonts w:hint="eastAsia" w:ascii="宋体" w:hAnsi="宋体" w:cs="宋体"/>
                <w:b/>
                <w:bCs/>
                <w:i/>
                <w:color w:val="000000"/>
                <w:sz w:val="24"/>
                <w:szCs w:val="24"/>
                <w:u w:val="single"/>
              </w:rPr>
            </w:pPr>
            <w:r>
              <w:rPr>
                <w:rFonts w:hint="eastAsia" w:ascii="宋体" w:hAnsi="宋体" w:cs="宋体"/>
                <w:i/>
                <w:color w:val="000000"/>
                <w:sz w:val="24"/>
                <w:szCs w:val="24"/>
                <w:u w:val="single"/>
              </w:rPr>
              <w:t xml:space="preserve">1、支持IPv6 协议，可预处理SRv6 数据包。</w:t>
            </w:r>
            <w:r>
              <w:rPr>
                <w:rFonts w:hint="eastAsia" w:ascii="宋体" w:hAnsi="宋体" w:cs="宋体"/>
                <w:b/>
                <w:bCs/>
                <w:i/>
                <w:color w:val="000000"/>
                <w:sz w:val="24"/>
                <w:szCs w:val="24"/>
                <w:u w:val="single"/>
              </w:rPr>
              <w:t xml:space="preserve">（提供承诺函扫描上传）</w:t>
            </w:r>
            <w:r/>
          </w:p>
          <w:p>
            <w:pPr>
              <w:jc w:val="left"/>
              <w:widowControl/>
              <w:rPr>
                <w:rFonts w:hint="eastAsia" w:ascii="宋体" w:hAnsi="宋体" w:cs="宋体"/>
                <w:b/>
                <w:bCs/>
                <w:i/>
                <w:color w:val="000000"/>
                <w:sz w:val="24"/>
                <w:szCs w:val="24"/>
                <w:u w:val="single"/>
              </w:rPr>
            </w:pPr>
            <w:r>
              <w:rPr>
                <w:rFonts w:hint="eastAsia" w:ascii="宋体" w:hAnsi="宋体" w:cs="宋体"/>
                <w:i/>
                <w:color w:val="000000"/>
                <w:sz w:val="24"/>
                <w:szCs w:val="24"/>
                <w:u w:val="single"/>
              </w:rPr>
              <w:t xml:space="preserve">2、不限制授权，满足本项目引流使用需求。</w:t>
            </w:r>
            <w:r>
              <w:rPr>
                <w:rFonts w:hint="eastAsia" w:ascii="宋体" w:hAnsi="宋体" w:cs="宋体"/>
                <w:b/>
                <w:bCs/>
                <w:i/>
                <w:color w:val="000000"/>
                <w:sz w:val="24"/>
                <w:szCs w:val="24"/>
                <w:u w:val="single"/>
              </w:rPr>
              <w:t xml:space="preserve">（提供承诺函扫描上传）</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3、支持通过集群部署扩展系统性能。</w:t>
            </w:r>
            <w:r>
              <w:rPr>
                <w:rFonts w:hint="eastAsia" w:ascii="宋体" w:hAnsi="宋体" w:cs="宋体"/>
                <w:color w:val="000000"/>
                <w:sz w:val="24"/>
                <w:szCs w:val="24"/>
              </w:rPr>
              <w:br/>
            </w:r>
            <w:r>
              <w:rPr>
                <w:rFonts w:hint="eastAsia" w:ascii="宋体" w:hAnsi="宋体" w:cs="宋体"/>
                <w:color w:val="000000"/>
                <w:sz w:val="24"/>
                <w:szCs w:val="24"/>
              </w:rPr>
              <w:t xml:space="preserve">4、支持基于硬件的 OSIL2-L4 层流量过滤。</w:t>
            </w:r>
            <w:r>
              <w:rPr>
                <w:rFonts w:hint="eastAsia" w:ascii="宋体" w:hAnsi="宋体" w:cs="宋体"/>
                <w:color w:val="000000"/>
                <w:sz w:val="24"/>
                <w:szCs w:val="24"/>
              </w:rPr>
              <w:br/>
            </w:r>
            <w:r>
              <w:rPr>
                <w:rFonts w:hint="eastAsia" w:ascii="宋体" w:hAnsi="宋体" w:cs="宋体"/>
                <w:color w:val="000000"/>
                <w:sz w:val="24"/>
                <w:szCs w:val="24"/>
              </w:rPr>
              <w:t xml:space="preserve">5、所有端口支持100%线速转发无丢包。</w:t>
            </w:r>
            <w:r/>
          </w:p>
        </w:tc>
      </w:tr>
    </w:tbl>
    <w:p>
      <w:pPr>
        <w:pStyle w:val="1060"/>
        <w:jc w:val="left"/>
        <w:spacing w:before="0" w:after="0" w:line="360" w:lineRule="auto"/>
        <w:rPr>
          <w:sz w:val="24"/>
          <w:szCs w:val="24"/>
        </w:rPr>
      </w:pPr>
      <w:r>
        <w:rPr>
          <w:rFonts w:hint="eastAsia" w:ascii="宋体" w:hAnsi="宋体" w:eastAsia="宋体" w:cs="宋体"/>
          <w:sz w:val="24"/>
          <w:szCs w:val="24"/>
        </w:rPr>
        <w:t xml:space="preserve">（2）服务要求</w:t>
      </w:r>
      <w:r/>
    </w:p>
    <w:tbl>
      <w:tblPr>
        <w:tblStyle w:val="1069"/>
        <w:tblW w:w="9033" w:type="dxa"/>
        <w:jc w:val="center"/>
        <w:tblLayout w:type="fixed"/>
        <w:tblCellMar>
          <w:left w:w="0" w:type="dxa"/>
          <w:top w:w="0" w:type="dxa"/>
          <w:right w:w="0" w:type="dxa"/>
          <w:bottom w:w="0" w:type="dxa"/>
        </w:tblCellMar>
        <w:tblLook w:val="04A0" w:firstRow="1" w:lastRow="0" w:firstColumn="1" w:lastColumn="0" w:noHBand="0" w:noVBand="1"/>
      </w:tblPr>
      <w:tblGrid>
        <w:gridCol w:w="1134"/>
        <w:gridCol w:w="7899"/>
      </w:tblGrid>
      <w:tr>
        <w:trPr>
          <w:jc w:val="center"/>
          <w:trHeight w:val="714"/>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34" w:type="dxa"/>
            <w:vAlign w:val="center"/>
            <w:vMerge w:val="restart"/>
            <w:textDirection w:val="lrTb"/>
            <w:noWrap w:val="false"/>
          </w:tcPr>
          <w:p>
            <w:pPr>
              <w:jc w:val="center"/>
              <w:spacing w:before="120" w:after="120"/>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系统对接需求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99" w:type="dxa"/>
            <w:vAlign w:val="center"/>
            <w:textDirection w:val="lrTb"/>
            <w:noWrap w:val="false"/>
          </w:tcPr>
          <w:p>
            <w:pPr>
              <w:ind w:left="-2"/>
              <w:rPr>
                <w:rFonts w:ascii="宋体" w:hAnsi="宋体" w:cs="宋体"/>
                <w:i/>
                <w:iCs/>
                <w:color w:val="000000" w:themeColor="text1"/>
                <w:sz w:val="24"/>
                <w:szCs w:val="24"/>
                <w:u w:val="single"/>
              </w:rPr>
            </w:pPr>
            <w:r>
              <w:rPr>
                <w:rFonts w:hint="eastAsia" w:ascii="宋体" w:hAnsi="宋体" w:cs="宋体"/>
                <w:i/>
                <w:iCs/>
                <w:color w:val="000000" w:themeColor="text1"/>
                <w:sz w:val="24"/>
                <w:szCs w:val="24"/>
                <w:u w:val="single"/>
              </w:rPr>
              <w:t xml:space="preserve">1、线路开通时间：自接到采购人通知后，</w:t>
            </w:r>
            <w:r>
              <w:rPr>
                <w:rFonts w:ascii="宋体" w:hAnsi="宋体" w:cs="宋体"/>
                <w:i/>
                <w:iCs/>
                <w:color w:val="000000" w:themeColor="text1"/>
                <w:sz w:val="24"/>
                <w:szCs w:val="24"/>
                <w:u w:val="single"/>
              </w:rPr>
              <w:t xml:space="preserve">7</w:t>
            </w:r>
            <w:r>
              <w:rPr>
                <w:rFonts w:hint="eastAsia" w:ascii="宋体" w:hAnsi="宋体" w:cs="宋体"/>
                <w:i/>
                <w:iCs/>
                <w:color w:val="000000" w:themeColor="text1"/>
                <w:sz w:val="24"/>
                <w:szCs w:val="24"/>
                <w:u w:val="single"/>
              </w:rPr>
              <w:t xml:space="preserve">个工作日内完成线路开通工作；对于应急线路，投标人在接到通知后24小时内开通。</w:t>
            </w:r>
            <w:r>
              <w:rPr>
                <w:rFonts w:hint="eastAsia" w:ascii="宋体" w:hAnsi="宋体" w:cs="宋体"/>
                <w:b/>
                <w:bCs/>
                <w:i/>
                <w:color w:val="000000"/>
                <w:sz w:val="24"/>
                <w:szCs w:val="24"/>
                <w:u w:val="single"/>
              </w:rPr>
              <w:t xml:space="preserve">（提供承诺函扫描上传）</w:t>
            </w:r>
            <w:r/>
          </w:p>
        </w:tc>
      </w:tr>
      <w:tr>
        <w:trPr>
          <w:jc w:val="center"/>
          <w:trHeight w:val="10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34"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99" w:type="dxa"/>
            <w:vAlign w:val="center"/>
            <w:textDirection w:val="lrTb"/>
            <w:noWrap w:val="false"/>
          </w:tcPr>
          <w:p>
            <w:pPr>
              <w:rPr>
                <w:rFonts w:ascii="宋体" w:hAnsi="宋体" w:cs="宋体"/>
                <w:i/>
                <w:iCs/>
                <w:color w:val="000000" w:themeColor="text1"/>
                <w:sz w:val="24"/>
                <w:szCs w:val="24"/>
                <w:u w:val="single"/>
              </w:rPr>
            </w:pPr>
            <w:r>
              <w:rPr>
                <w:rFonts w:hint="eastAsia" w:ascii="宋体" w:hAnsi="宋体" w:cs="宋体"/>
                <w:i/>
                <w:iCs/>
                <w:color w:val="000000" w:themeColor="text1"/>
                <w:sz w:val="24"/>
                <w:szCs w:val="24"/>
                <w:u w:val="single"/>
              </w:rPr>
              <w:t xml:space="preserve">2、对于既有线路需进行割接的，投标人须于合同签订后3个工作日内向采购人提交详细割接方案，经采购人同意后于</w:t>
            </w:r>
            <w:r>
              <w:rPr>
                <w:rFonts w:ascii="宋体" w:hAnsi="宋体" w:cs="宋体"/>
                <w:i/>
                <w:iCs/>
                <w:color w:val="000000" w:themeColor="text1"/>
                <w:sz w:val="24"/>
                <w:szCs w:val="24"/>
                <w:u w:val="single"/>
              </w:rPr>
              <w:t xml:space="preserve">7</w:t>
            </w:r>
            <w:r>
              <w:rPr>
                <w:rFonts w:hint="eastAsia" w:ascii="宋体" w:hAnsi="宋体" w:cs="宋体"/>
                <w:i/>
                <w:iCs/>
                <w:color w:val="000000" w:themeColor="text1"/>
                <w:sz w:val="24"/>
                <w:szCs w:val="24"/>
                <w:u w:val="single"/>
              </w:rPr>
              <w:t xml:space="preserve">个工作日内完成割接工作，割接过程中须保证原有业务中断时间不超过0.5小时，且相关协调工作均由投标人承担。</w:t>
            </w:r>
            <w:r>
              <w:rPr>
                <w:rFonts w:hint="eastAsia" w:ascii="宋体" w:hAnsi="宋体" w:cs="宋体"/>
                <w:b/>
                <w:bCs/>
                <w:i/>
                <w:color w:val="000000"/>
                <w:sz w:val="24"/>
                <w:szCs w:val="24"/>
                <w:u w:val="single"/>
              </w:rPr>
              <w:t xml:space="preserve">（提供承诺函扫描上传）</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34" w:type="dxa"/>
            <w:vAlign w:val="center"/>
            <w:vMerge w:val="restart"/>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项目实施需求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99" w:type="dxa"/>
            <w:vAlign w:val="center"/>
            <w:textDirection w:val="lrTb"/>
            <w:noWrap w:val="false"/>
          </w:tcPr>
          <w:p>
            <w:pPr>
              <w:rPr>
                <w:rFonts w:ascii="宋体" w:hAnsi="宋体" w:cs="宋体"/>
                <w:iCs/>
                <w:color w:val="000000" w:themeColor="text1"/>
                <w:sz w:val="24"/>
                <w:szCs w:val="24"/>
              </w:rPr>
            </w:pPr>
            <w:r>
              <w:rPr>
                <w:rFonts w:hint="eastAsia" w:ascii="宋体" w:hAnsi="宋体" w:cs="宋体"/>
                <w:iCs/>
                <w:color w:val="000000" w:themeColor="text1"/>
                <w:sz w:val="24"/>
                <w:szCs w:val="24"/>
              </w:rPr>
              <w:t xml:space="preserve">1、线路拆除时间：自接到采购人通知后，5个工作日内完成线路拆除工作。</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34"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99" w:type="dxa"/>
            <w:vAlign w:val="center"/>
            <w:textDirection w:val="lrTb"/>
            <w:noWrap w:val="false"/>
          </w:tcPr>
          <w:p>
            <w:pPr>
              <w:rPr>
                <w:rFonts w:ascii="宋体" w:hAnsi="宋体" w:cs="宋体"/>
                <w:iCs/>
                <w:color w:val="000000" w:themeColor="text1"/>
                <w:sz w:val="24"/>
                <w:szCs w:val="24"/>
              </w:rPr>
            </w:pPr>
            <w:r>
              <w:rPr>
                <w:rFonts w:hint="eastAsia" w:ascii="宋体" w:hAnsi="宋体" w:cs="宋体"/>
                <w:iCs/>
                <w:color w:val="000000" w:themeColor="text1"/>
                <w:sz w:val="24"/>
                <w:szCs w:val="24"/>
              </w:rPr>
              <w:t xml:space="preserve">2、线路迁移时间：自接到采购人通知后，5个工作日内完成线路迁移工作。</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34" w:type="dxa"/>
            <w:vAlign w:val="center"/>
            <w:vMerge w:val="restart"/>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项目管理需求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99"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1、对于采购人要求的线路开通端地址，投标人须完全满足，相关进场协调工作及费用由投标人自行承担。</w:t>
            </w:r>
            <w:r/>
          </w:p>
        </w:tc>
      </w:tr>
      <w:tr>
        <w:trPr>
          <w:jc w:val="center"/>
          <w:trHeight w:val="406"/>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34"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99" w:type="dxa"/>
            <w:vAlign w:val="center"/>
            <w:textDirection w:val="lrTb"/>
            <w:noWrap w:val="false"/>
          </w:tcPr>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每月向采购人提供通信线路运行质量报告，（报告内容包括但不限于通信线路的基础信息、各线路的光衰、网络时延、丢包率等状态信息、新增拆机移机等租赁服务信息等），确保通信线路各项运行指标正常。通信线路出现重大故障时，通信备用线路以及端点直连网络设备的备品备件能随时应急启用。要求通信备用线路可用率平均达到99.99%；通信中断4个小时内线路抢修恢复率为100%；平均恢复时间小于2小时。</w:t>
            </w:r>
            <w:r/>
          </w:p>
        </w:tc>
      </w:tr>
      <w:tr>
        <w:trPr>
          <w:jc w:val="center"/>
          <w:trHeight w:val="406"/>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34" w:type="dxa"/>
            <w:vAlign w:val="center"/>
            <w:vMerge w:val="restart"/>
            <w:textDirection w:val="lrTb"/>
            <w:noWrap w:val="false"/>
          </w:tcPr>
          <w:p>
            <w:pPr>
              <w:jc w:val="center"/>
              <w:spacing w:before="120" w:after="120"/>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运维服务需求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99" w:type="dxa"/>
            <w:vAlign w:val="center"/>
            <w:textDirection w:val="lrTb"/>
            <w:noWrap w:val="false"/>
          </w:tcPr>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提供每月常态化全部通信线路的巡检、维护服务，每月巡检次数不少于1次，并提供全面巡检报告，巡检内容包括但不限于通信线路物理状态、行业通用技术指标、采购人定制的相关通信线路配置管理规定的合规性检查、通信线路台账、新增拆机移机情况、租费核准等，提供24小时统一故障申告服务电话，提供故障响应流程和服务承诺。</w:t>
            </w:r>
            <w:r/>
          </w:p>
        </w:tc>
      </w:tr>
      <w:tr>
        <w:trPr>
          <w:jc w:val="center"/>
          <w:trHeight w:val="16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34"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99" w:type="dxa"/>
            <w:vAlign w:val="center"/>
            <w:textDirection w:val="lrTb"/>
            <w:noWrap w:val="false"/>
          </w:tcPr>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除人为破坏和不可抗力影响外，如通信线路发生大面积中断故障（故障比例达到线路总数3%及以上），时间连续超过4小时，投标人扣除1个月的全部通信线路租用费用；达12小时，投标人扣除2个月的全部通信线路租用费用；一年内发生大面积中断超过2次，采购人有权终止合同，投标人须承担相关法律责任。中断故障时间的计算，以投标人接到采购人通知或投标人查出中断的时间起至恢复通信服务时止。</w:t>
            </w:r>
            <w:r/>
          </w:p>
        </w:tc>
      </w:tr>
      <w:tr>
        <w:trPr>
          <w:jc w:val="center"/>
          <w:trHeight w:val="135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34"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99" w:type="dxa"/>
            <w:vAlign w:val="center"/>
            <w:textDirection w:val="lrTb"/>
            <w:noWrap w:val="false"/>
          </w:tcPr>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除人为破坏和不可抗力影响外，如通信线路发生一般中断故障（单条线路中断时间达10分钟计为1次）每达3次，根据投标人的应答价格，扣除该条线路当月线路租赁费。若因市政等原因导致的长时间断网（超过1个月）投标人需提前报备并提供解决方案，如无解决方案将作为停机处理并扣除相应的租赁费用。</w:t>
            </w:r>
            <w:r/>
          </w:p>
        </w:tc>
      </w:tr>
      <w:tr>
        <w:trPr>
          <w:jc w:val="center"/>
          <w:trHeight w:val="189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34" w:type="dxa"/>
            <w:vAlign w:val="center"/>
            <w:vMerge w:val="restart"/>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应急保障需求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99" w:type="dxa"/>
            <w:vAlign w:val="center"/>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投标人需根据采购人的要求，及时派出技术维护人员到重要保障任务现场提供服务保障，遇有重大活动、会议任务，需提前检查线路及设备，并配备2名现场值守人员，遇到网络故障立即处置；在采购人提出的重要保障任务中，如发生通信线路或相关网络设备故障造成采购人使用受到严重影响，根据投标人的应答价格扣除相应通信线路1月的线路租赁费用，如果一年内发生超过3次，扣除相应通信线路1年的线路租赁费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34"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99"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2、投标人定期按照采购人要求对机房于终端之间的连接光纤检查和免费整理一次。</w:t>
            </w:r>
            <w:r/>
          </w:p>
        </w:tc>
      </w:tr>
      <w:tr>
        <w:trPr>
          <w:jc w:val="center"/>
          <w:trHeight w:val="770"/>
        </w:trPr>
        <w:tc>
          <w:tcPr>
            <w:tcBorders>
              <w:top w:val="single" w:color="000000" w:sz="4" w:space="0"/>
              <w:left w:val="single" w:color="000000" w:sz="4" w:space="0"/>
              <w:right w:val="single" w:color="000000" w:sz="4" w:space="0"/>
            </w:tcBorders>
            <w:tcMar>
              <w:left w:w="10" w:type="dxa"/>
              <w:top w:w="10" w:type="dxa"/>
              <w:right w:w="10" w:type="dxa"/>
            </w:tcMar>
            <w:tcW w:w="1134" w:type="dxa"/>
            <w:vAlign w:val="center"/>
            <w:vMerge w:val="restart"/>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售后服务要求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99" w:type="dxa"/>
            <w:vAlign w:val="center"/>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投标人提供售后服务保障体系和完整合理的售后服务，售后服务中需包含服务内容、响应时间、故障处理、恢复时效、人员力量、支撑保障等内容。</w:t>
            </w:r>
            <w:r/>
          </w:p>
        </w:tc>
      </w:tr>
      <w:tr>
        <w:trPr>
          <w:jc w:val="center"/>
          <w:trHeight w:val="540"/>
        </w:trPr>
        <w:tc>
          <w:tcPr>
            <w:tcBorders>
              <w:left w:val="single" w:color="000000" w:sz="4" w:space="0"/>
              <w:bottom w:val="single" w:color="auto" w:sz="4" w:space="0"/>
              <w:right w:val="single" w:color="000000" w:sz="4" w:space="0"/>
            </w:tcBorders>
            <w:tcMar>
              <w:left w:w="10" w:type="dxa"/>
              <w:top w:w="10" w:type="dxa"/>
              <w:right w:w="10" w:type="dxa"/>
            </w:tcMar>
            <w:tcW w:w="1134"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auto" w:sz="4" w:space="0"/>
              <w:right w:val="single" w:color="000000" w:sz="4" w:space="0"/>
            </w:tcBorders>
            <w:tcMar>
              <w:left w:w="10" w:type="dxa"/>
              <w:top w:w="10" w:type="dxa"/>
              <w:right w:w="10" w:type="dxa"/>
            </w:tcMar>
            <w:tcW w:w="7899" w:type="dxa"/>
            <w:vAlign w:val="center"/>
            <w:textDirection w:val="lrTb"/>
            <w:noWrap w:val="false"/>
          </w:tcPr>
          <w:p>
            <w:pPr>
              <w:rPr>
                <w:rFonts w:ascii="宋体" w:hAnsi="宋体" w:cs="宋体"/>
                <w:color w:val="000000" w:themeColor="text1"/>
                <w:sz w:val="24"/>
                <w:szCs w:val="24"/>
              </w:rPr>
            </w:pPr>
            <w:r>
              <w:rPr>
                <w:rFonts w:hint="eastAsia" w:ascii="宋体" w:hAnsi="宋体" w:cs="宋体"/>
                <w:iCs/>
                <w:color w:val="000000" w:themeColor="text1"/>
                <w:sz w:val="24"/>
                <w:szCs w:val="24"/>
              </w:rPr>
              <w:t xml:space="preserve">2、本项目实施和维护过程中产生一切其他费用由中标人承担，与采购人无关。</w:t>
            </w:r>
            <w:r/>
          </w:p>
        </w:tc>
      </w:tr>
      <w:tr>
        <w:trPr>
          <w:jc w:val="center"/>
          <w:trHeight w:val="810"/>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1134" w:type="dxa"/>
            <w:vAlign w:val="center"/>
            <w:vMerge w:val="restart"/>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其他要求</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899" w:type="dxa"/>
            <w:vAlign w:val="center"/>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合同签订时，采购人将根据既有租赁线路实际使用情况，明确本项目初始线路分配清单，后续如有变化，根据采购人提供的线路开通或拆停单实时纳入本项目中实施，并据实结算费用。</w:t>
            </w:r>
            <w:r/>
          </w:p>
        </w:tc>
      </w:tr>
      <w:tr>
        <w:trPr>
          <w:jc w:val="center"/>
          <w:trHeight w:val="540"/>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1134"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899"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2、各类线路租赁单价应包含线路费用、相关设备费用、施工费用、开户费用等所有费用，投标人不得再收取额外其他费用。</w:t>
            </w:r>
            <w:r/>
          </w:p>
        </w:tc>
      </w:tr>
      <w:tr>
        <w:trPr>
          <w:jc w:val="center"/>
          <w:trHeight w:val="540"/>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1134"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899"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3、项目实施过程中，投标人须严格按照安全施工相关要求开展工作，如发生任何施工事故，后果均由投标人自行承担。</w:t>
            </w:r>
            <w:r/>
          </w:p>
        </w:tc>
      </w:tr>
      <w:tr>
        <w:trPr>
          <w:jc w:val="center"/>
          <w:trHeight w:val="406"/>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1134"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899" w:type="dxa"/>
            <w:vAlign w:val="center"/>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t xml:space="preserve">4、</w:t>
            </w:r>
            <w:r>
              <w:rPr>
                <w:rFonts w:hint="eastAsia" w:ascii="宋体" w:hAnsi="宋体" w:cs="宋体"/>
                <w:color w:val="000000" w:themeColor="text1"/>
                <w:sz w:val="24"/>
                <w:szCs w:val="24"/>
              </w:rPr>
              <w:t xml:space="preserve">投标人如遇必要的如线路改造、线路路由优化等网络割接对采购人线路有影响时，须提前5个工作日以书面方式（加盖公章）告知采购人，经采购人同意后，才可实施。</w:t>
            </w:r>
            <w:r/>
          </w:p>
        </w:tc>
      </w:tr>
      <w:tr>
        <w:trPr>
          <w:jc w:val="center"/>
          <w:trHeight w:val="810"/>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1134"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899"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5、投标人在投标文件中的所有承诺、方案等均须完全履约。在合同签订后，采购人将对投标文件中的内容进行核实，如有不实，视为虚假承诺，采购人有权取消合同，并按照投标人虚假承诺应标处理。</w:t>
            </w:r>
            <w:r/>
          </w:p>
        </w:tc>
      </w:tr>
      <w:tr>
        <w:trPr>
          <w:jc w:val="center"/>
          <w:trHeight w:val="1327"/>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1134"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899" w:type="dxa"/>
            <w:vAlign w:val="center"/>
            <w:textDirection w:val="lrTb"/>
            <w:noWrap w:val="false"/>
          </w:tcPr>
          <w:p>
            <w:pPr>
              <w:rPr>
                <w:rFonts w:ascii="宋体" w:hAnsi="宋体" w:cs="宋体"/>
                <w:color w:val="000000" w:themeColor="text1"/>
                <w:sz w:val="24"/>
                <w:szCs w:val="24"/>
              </w:rPr>
            </w:pPr>
            <w:r>
              <w:rPr>
                <w:rFonts w:hint="eastAsia" w:ascii="宋体" w:hAnsi="宋体" w:cs="宋体"/>
                <w:iCs/>
                <w:color w:val="000000" w:themeColor="text1"/>
                <w:sz w:val="24"/>
                <w:szCs w:val="24"/>
              </w:rPr>
              <w:t xml:space="preserve">6、投标人须接受采购人的数据与网络安全保密管理与监督、人员与公司背景审查、数据与网络保密制度审查等。项目服务期间，如果投标人发生与公安数据相关的安全违规或泄密事件，采购人有权终止合同，取消相关款项支付，并追究投标人的法律责任。</w:t>
            </w:r>
            <w:r/>
          </w:p>
        </w:tc>
      </w:tr>
    </w:tbl>
    <w:p>
      <w:pPr>
        <w:rPr>
          <w:sz w:val="24"/>
          <w:szCs w:val="24"/>
        </w:rPr>
      </w:pPr>
      <w:r>
        <w:rPr>
          <w:sz w:val="24"/>
          <w:szCs w:val="24"/>
        </w:rPr>
      </w:r>
      <w:r/>
    </w:p>
    <w:p>
      <w:pPr>
        <w:keepLines/>
        <w:keepNext/>
        <w:pageBreakBefore w:val="0"/>
        <w:spacing w:before="360" w:after="181"/>
        <w:widowControl w:val="off"/>
        <w:rPr>
          <w:rFonts w:ascii="微软雅黑" w:hAnsi="微软雅黑" w:eastAsia="微软雅黑" w:cs="微软雅黑"/>
          <w:sz w:val="24"/>
          <w:szCs w:val="24"/>
        </w:rPr>
        <w:outlineLvl w:val="1"/>
      </w:pPr>
      <w:r>
        <w:rPr>
          <w:rFonts w:hint="eastAsia" w:ascii="宋体" w:hAnsi="宋体" w:cs="宋体"/>
          <w:sz w:val="24"/>
          <w:szCs w:val="24"/>
        </w:rPr>
        <w:t xml:space="preserve">4、</w:t>
      </w:r>
      <w:r>
        <w:rPr>
          <w:rFonts w:hint="eastAsia" w:ascii="宋体" w:hAnsi="宋体" w:cs="宋体"/>
          <w:color w:val="ff0000"/>
          <w:sz w:val="24"/>
          <w:szCs w:val="24"/>
        </w:rPr>
        <w:t xml:space="preserve">包4：</w:t>
      </w:r>
      <w:r>
        <w:rPr>
          <w:rFonts w:hint="eastAsia" w:ascii="微软雅黑" w:hAnsi="微软雅黑" w:eastAsia="微软雅黑" w:cs="微软雅黑"/>
          <w:sz w:val="24"/>
          <w:szCs w:val="24"/>
        </w:rPr>
        <w:t xml:space="preserve">横向部门备用线和安全流量监测服务</w:t>
      </w:r>
      <w:r/>
    </w:p>
    <w:p>
      <w:pPr>
        <w:keepLines/>
        <w:keepNext/>
        <w:pageBreakBefore w:val="0"/>
        <w:spacing w:before="181" w:after="200"/>
        <w:widowControl w:val="off"/>
        <w:rPr>
          <w:rFonts w:ascii="微软雅黑" w:hAnsi="微软雅黑" w:eastAsia="微软雅黑" w:cs="微软雅黑"/>
          <w:sz w:val="24"/>
          <w:szCs w:val="24"/>
        </w:rPr>
        <w:outlineLvl w:val="2"/>
      </w:pPr>
      <w:r>
        <w:rPr>
          <w:rFonts w:hint="eastAsia" w:ascii="宋体" w:hAnsi="宋体" w:cs="宋体"/>
          <w:sz w:val="24"/>
          <w:szCs w:val="24"/>
        </w:rPr>
        <w:t xml:space="preserve">（</w:t>
      </w:r>
      <w:r>
        <w:rPr>
          <w:rFonts w:hint="eastAsia" w:ascii="Arial" w:hAnsi="Arial" w:cs="Arial" w:eastAsiaTheme="minorEastAsia"/>
          <w:sz w:val="24"/>
          <w:szCs w:val="24"/>
        </w:rPr>
        <w:t xml:space="preserve">1</w:t>
      </w:r>
      <w:r>
        <w:rPr>
          <w:rFonts w:hint="eastAsia" w:ascii="宋体" w:hAnsi="宋体" w:cs="宋体"/>
          <w:sz w:val="24"/>
          <w:szCs w:val="24"/>
        </w:rPr>
        <w:t xml:space="preserve">）清单及参数</w:t>
      </w:r>
      <w:r/>
    </w:p>
    <w:tbl>
      <w:tblPr>
        <w:tblStyle w:val="106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9"/>
        <w:gridCol w:w="1230"/>
        <w:gridCol w:w="7363"/>
      </w:tblGrid>
      <w:tr>
        <w:trPr>
          <w:jc w:val="center"/>
          <w:trHeight w:val="3843"/>
        </w:trPr>
        <w:tc>
          <w:tcPr>
            <w:shd w:val="clear" w:color="auto" w:fill="auto"/>
            <w:tcW w:w="479" w:type="dxa"/>
            <w:vAlign w:val="center"/>
            <w:textDirection w:val="lrTb"/>
            <w:noWrap w:val="false"/>
          </w:tcPr>
          <w:p>
            <w:pPr>
              <w:jc w:val="center"/>
              <w:widowControl/>
              <w:rPr>
                <w:rFonts w:hint="eastAsia" w:ascii="宋体" w:hAnsi="宋体" w:cs="宋体"/>
                <w:bCs/>
                <w:color w:val="000000" w:themeColor="text1"/>
                <w:sz w:val="24"/>
                <w:szCs w:val="24"/>
                <w:lang w:bidi="ar"/>
              </w:rPr>
            </w:pPr>
            <w:r>
              <w:rPr>
                <w:rFonts w:hint="eastAsia" w:ascii="宋体" w:hAnsi="宋体" w:cs="宋体"/>
                <w:bCs/>
                <w:color w:val="000000" w:themeColor="text1"/>
                <w:sz w:val="24"/>
                <w:szCs w:val="24"/>
                <w:lang w:bidi="ar"/>
              </w:rPr>
              <w:t xml:space="preserve">1</w:t>
            </w:r>
            <w:r/>
          </w:p>
        </w:tc>
        <w:tc>
          <w:tcPr>
            <w:shd w:val="clear" w:color="auto" w:fill="auto"/>
            <w:tcW w:w="1230" w:type="dxa"/>
            <w:vAlign w:val="center"/>
            <w:textDirection w:val="lrTb"/>
            <w:noWrap w:val="false"/>
          </w:tcPr>
          <w:p>
            <w:pPr>
              <w:jc w:val="center"/>
              <w:widowControl/>
              <w:rPr>
                <w:rFonts w:hint="eastAsia" w:ascii="宋体" w:hAnsi="宋体" w:cs="宋体"/>
                <w:bCs/>
                <w:color w:val="000000" w:themeColor="text1"/>
                <w:sz w:val="24"/>
                <w:szCs w:val="24"/>
                <w:lang w:bidi="ar"/>
              </w:rPr>
            </w:pPr>
            <w:r>
              <w:rPr>
                <w:rFonts w:hint="eastAsia" w:ascii="宋体" w:hAnsi="宋体" w:cs="宋体"/>
                <w:bCs/>
                <w:color w:val="000000" w:themeColor="text1"/>
                <w:sz w:val="24"/>
                <w:szCs w:val="24"/>
                <w:lang w:bidi="ar"/>
              </w:rPr>
              <w:t xml:space="preserve">横向部门数据传输线路服务</w:t>
            </w:r>
            <w:r/>
          </w:p>
        </w:tc>
        <w:tc>
          <w:tcPr>
            <w:shd w:val="clear" w:color="auto" w:fill="auto"/>
            <w:tcW w:w="7363" w:type="dxa"/>
            <w:vAlign w:val="center"/>
            <w:textDirection w:val="lrTb"/>
            <w:noWrap w:val="false"/>
          </w:tcPr>
          <w:p>
            <w:pPr>
              <w:jc w:val="left"/>
              <w:widowControl/>
              <w:rPr>
                <w:rFonts w:hint="eastAsia" w:ascii="宋体" w:hAnsi="宋体" w:cs="宋体"/>
                <w:b/>
                <w:bCs/>
                <w:i/>
                <w:color w:val="000000"/>
                <w:sz w:val="24"/>
                <w:szCs w:val="24"/>
                <w:u w:val="single"/>
              </w:rPr>
            </w:pPr>
            <w:r>
              <w:rPr>
                <w:rFonts w:hint="eastAsia" w:ascii="宋体" w:hAnsi="宋体" w:cs="宋体"/>
                <w:i/>
                <w:color w:val="000000"/>
                <w:sz w:val="24"/>
                <w:szCs w:val="24"/>
                <w:u w:val="single"/>
              </w:rPr>
              <w:t xml:space="preserve">1、提供≥</w:t>
            </w:r>
            <w:r>
              <w:rPr>
                <w:rFonts w:ascii="宋体" w:hAnsi="宋体" w:cs="宋体"/>
                <w:i/>
                <w:color w:val="000000"/>
                <w:sz w:val="24"/>
                <w:szCs w:val="24"/>
                <w:u w:val="single"/>
              </w:rPr>
              <w:t xml:space="preserve">20</w:t>
            </w:r>
            <w:r>
              <w:rPr>
                <w:rFonts w:hint="eastAsia" w:ascii="宋体" w:hAnsi="宋体" w:cs="宋体"/>
                <w:i/>
                <w:color w:val="000000"/>
                <w:sz w:val="24"/>
                <w:szCs w:val="24"/>
                <w:u w:val="single"/>
              </w:rPr>
              <w:t xml:space="preserve">条裸光纤接入线路，具体点位信息由采购人确定，服务周期内可根据采购人需求调整点位物理地址。</w:t>
            </w:r>
            <w:r>
              <w:rPr>
                <w:rFonts w:hint="eastAsia" w:ascii="宋体" w:hAnsi="宋体" w:cs="宋体"/>
                <w:b/>
                <w:bCs/>
                <w:i/>
                <w:color w:val="000000"/>
                <w:sz w:val="24"/>
                <w:szCs w:val="24"/>
                <w:u w:val="single"/>
              </w:rPr>
              <w:t xml:space="preserve">（提供承诺函扫描上传）</w:t>
            </w:r>
            <w:r/>
          </w:p>
          <w:p>
            <w:pPr>
              <w:jc w:val="left"/>
              <w:widowControl/>
              <w:rPr>
                <w:rFonts w:ascii="宋体" w:hAnsi="宋体" w:cs="宋体"/>
                <w:color w:val="000000"/>
                <w:sz w:val="24"/>
                <w:szCs w:val="24"/>
              </w:rPr>
            </w:pPr>
            <w:r>
              <w:rPr>
                <w:rFonts w:hint="eastAsia" w:ascii="宋体" w:hAnsi="宋体" w:cs="宋体"/>
                <w:i/>
                <w:color w:val="000000"/>
                <w:sz w:val="24"/>
                <w:szCs w:val="24"/>
                <w:u w:val="single"/>
              </w:rPr>
              <w:t xml:space="preserve">2、提供端到端模式的裸光纤服务，工作波长兼容1310nm/1550nm，根据两端模块可支持千兆、万兆速率。（</w:t>
            </w:r>
            <w:r>
              <w:rPr>
                <w:rFonts w:hint="eastAsia" w:ascii="宋体" w:hAnsi="宋体" w:cs="宋体"/>
                <w:b/>
                <w:bCs/>
                <w:i/>
                <w:color w:val="000000"/>
                <w:sz w:val="24"/>
                <w:szCs w:val="24"/>
                <w:u w:val="single"/>
              </w:rPr>
              <w:t xml:space="preserve">提供承诺函扫描上传）</w:t>
            </w:r>
            <w:r>
              <w:rPr>
                <w:rFonts w:hint="eastAsia" w:ascii="宋体" w:hAnsi="宋体" w:cs="宋体"/>
                <w:b/>
                <w:bCs/>
                <w:i/>
                <w:color w:val="000000"/>
                <w:sz w:val="24"/>
                <w:szCs w:val="24"/>
                <w:u w:val="single"/>
              </w:rPr>
              <w:br/>
            </w:r>
            <w:r>
              <w:rPr>
                <w:rFonts w:hint="eastAsia" w:ascii="宋体" w:hAnsi="宋体" w:cs="宋体"/>
                <w:color w:val="000000"/>
                <w:sz w:val="24"/>
                <w:szCs w:val="24"/>
              </w:rPr>
              <w:t xml:space="preserve">3、投标人须提供7×24小时的监控和维护服务，在服务期内接到采购人的报修电话，投标人的技术服务人员须在30分钟内响应，并在1小时内赶到使用现场实施维修，2小时内修复故障，1天内提供书面故障检修报告。</w:t>
            </w:r>
            <w:r>
              <w:rPr>
                <w:rFonts w:hint="eastAsia" w:ascii="宋体" w:hAnsi="宋体" w:cs="宋体"/>
                <w:color w:val="000000"/>
                <w:sz w:val="24"/>
                <w:szCs w:val="24"/>
              </w:rPr>
              <w:br/>
            </w:r>
            <w:r>
              <w:rPr>
                <w:rFonts w:hint="eastAsia" w:ascii="宋体" w:hAnsi="宋体" w:cs="宋体"/>
                <w:color w:val="000000"/>
                <w:sz w:val="24"/>
                <w:szCs w:val="24"/>
              </w:rPr>
              <w:t xml:space="preserve">4、光纤布线接入要符合国家有关光纤布线规范。所有光纤引入机房交换机柜，并可直接连接到交换机光纤端口。光纤接入所需设备由投标人提供，不再另外收费。</w:t>
            </w:r>
            <w:r/>
          </w:p>
        </w:tc>
      </w:tr>
      <w:tr>
        <w:trPr>
          <w:jc w:val="center"/>
          <w:trHeight w:val="1408"/>
        </w:trPr>
        <w:tc>
          <w:tcPr>
            <w:shd w:val="clear" w:color="auto" w:fill="auto"/>
            <w:tcW w:w="479" w:type="dxa"/>
            <w:vAlign w:val="center"/>
            <w:textDirection w:val="lrTb"/>
            <w:noWrap w:val="false"/>
          </w:tcPr>
          <w:p>
            <w:pPr>
              <w:jc w:val="center"/>
              <w:widowControl/>
              <w:rPr>
                <w:rFonts w:hint="eastAsia" w:ascii="宋体" w:hAnsi="宋体" w:cs="宋体"/>
                <w:bCs/>
                <w:color w:val="000000" w:themeColor="text1"/>
                <w:sz w:val="24"/>
                <w:szCs w:val="24"/>
                <w:lang w:bidi="ar"/>
              </w:rPr>
            </w:pPr>
            <w:r>
              <w:rPr>
                <w:rFonts w:hint="eastAsia" w:ascii="宋体" w:hAnsi="宋体" w:cs="宋体"/>
                <w:bCs/>
                <w:color w:val="000000" w:themeColor="text1"/>
                <w:sz w:val="24"/>
                <w:szCs w:val="24"/>
                <w:lang w:bidi="ar"/>
              </w:rPr>
              <w:t xml:space="preserve">2</w:t>
            </w:r>
            <w:r/>
          </w:p>
        </w:tc>
        <w:tc>
          <w:tcPr>
            <w:shd w:val="clear" w:color="auto" w:fill="auto"/>
            <w:tcW w:w="1230" w:type="dxa"/>
            <w:vAlign w:val="center"/>
            <w:textDirection w:val="lrTb"/>
            <w:noWrap w:val="false"/>
          </w:tcPr>
          <w:p>
            <w:pPr>
              <w:jc w:val="center"/>
              <w:widowControl/>
              <w:rPr>
                <w:rFonts w:hint="eastAsia" w:ascii="宋体" w:hAnsi="宋体" w:cs="宋体"/>
                <w:bCs/>
                <w:color w:val="000000" w:themeColor="text1"/>
                <w:sz w:val="24"/>
                <w:szCs w:val="24"/>
                <w:lang w:bidi="ar"/>
              </w:rPr>
            </w:pPr>
            <w:r>
              <w:rPr>
                <w:rFonts w:hint="eastAsia" w:ascii="宋体" w:hAnsi="宋体" w:cs="宋体"/>
                <w:bCs/>
                <w:color w:val="000000" w:themeColor="text1"/>
                <w:sz w:val="24"/>
                <w:szCs w:val="24"/>
                <w:lang w:bidi="ar"/>
              </w:rPr>
              <w:t xml:space="preserve">安全管理流量采集服务</w:t>
            </w:r>
            <w:r/>
          </w:p>
        </w:tc>
        <w:tc>
          <w:tcPr>
            <w:shd w:val="clear" w:color="auto" w:fill="auto"/>
            <w:tcW w:w="736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1、包括网页漏洞利用检测、webshell上传检测、网络攻击检测、威胁情报检测功能。</w:t>
            </w:r>
            <w:r>
              <w:rPr>
                <w:rFonts w:hint="eastAsia" w:ascii="宋体" w:hAnsi="宋体" w:cs="宋体"/>
                <w:color w:val="000000"/>
                <w:sz w:val="24"/>
                <w:szCs w:val="24"/>
              </w:rPr>
              <w:br/>
            </w:r>
            <w:r>
              <w:rPr>
                <w:rFonts w:hint="eastAsia" w:ascii="宋体" w:hAnsi="宋体" w:cs="宋体"/>
                <w:color w:val="000000"/>
                <w:sz w:val="24"/>
                <w:szCs w:val="24"/>
              </w:rPr>
              <w:t xml:space="preserve">2、提供离线pcap包导入检测、基础旁路阻断和基础SSL解密功能。</w:t>
            </w:r>
            <w:r>
              <w:rPr>
                <w:rFonts w:hint="eastAsia" w:ascii="宋体" w:hAnsi="宋体" w:cs="宋体"/>
                <w:color w:val="000000"/>
                <w:sz w:val="24"/>
                <w:szCs w:val="24"/>
              </w:rPr>
              <w:br/>
            </w:r>
            <w:r>
              <w:rPr>
                <w:rFonts w:hint="eastAsia" w:ascii="宋体" w:hAnsi="宋体" w:cs="宋体"/>
                <w:color w:val="000000"/>
                <w:sz w:val="24"/>
                <w:szCs w:val="24"/>
              </w:rPr>
              <w:t xml:space="preserve">3、服务期间可定期升级威胁情报与检测引擎规则库。</w:t>
            </w:r>
            <w:r>
              <w:rPr>
                <w:rFonts w:hint="eastAsia" w:ascii="宋体" w:hAnsi="宋体" w:cs="宋体"/>
                <w:color w:val="000000"/>
                <w:sz w:val="24"/>
                <w:szCs w:val="24"/>
              </w:rPr>
              <w:br/>
            </w:r>
            <w:r>
              <w:rPr>
                <w:rFonts w:hint="eastAsia" w:ascii="宋体" w:hAnsi="宋体" w:cs="宋体"/>
                <w:i/>
                <w:color w:val="000000"/>
                <w:sz w:val="24"/>
                <w:szCs w:val="24"/>
                <w:u w:val="single"/>
              </w:rPr>
              <w:t xml:space="preserve">4、与上级主管部门设备联调成功。</w:t>
            </w:r>
            <w:r>
              <w:rPr>
                <w:rFonts w:hint="eastAsia" w:ascii="宋体" w:hAnsi="宋体" w:cs="宋体"/>
                <w:b/>
                <w:bCs/>
                <w:i/>
                <w:color w:val="000000"/>
                <w:sz w:val="24"/>
                <w:szCs w:val="24"/>
                <w:u w:val="single"/>
              </w:rPr>
              <w:t xml:space="preserve">（投标人提供承诺函扫描上传）</w:t>
            </w:r>
            <w:r/>
          </w:p>
        </w:tc>
      </w:tr>
    </w:tbl>
    <w:p>
      <w:pPr>
        <w:pStyle w:val="1357"/>
        <w:ind w:firstLine="420"/>
        <w:rPr>
          <w:rFonts w:ascii="宋体" w:hAnsi="宋体" w:eastAsia="宋体" w:cs="宋体"/>
          <w:sz w:val="24"/>
        </w:rPr>
      </w:pPr>
      <w:r>
        <w:rPr>
          <w:rFonts w:ascii="宋体" w:hAnsi="宋体" w:eastAsia="宋体" w:cs="宋体"/>
          <w:sz w:val="24"/>
        </w:rPr>
      </w:r>
      <w:r/>
    </w:p>
    <w:p>
      <w:pPr>
        <w:pStyle w:val="1060"/>
        <w:jc w:val="left"/>
        <w:spacing w:before="0" w:after="0" w:line="360" w:lineRule="auto"/>
        <w:rPr>
          <w:sz w:val="24"/>
          <w:szCs w:val="24"/>
        </w:rPr>
      </w:pPr>
      <w:r>
        <w:rPr>
          <w:rFonts w:hint="eastAsia" w:ascii="宋体" w:hAnsi="宋体" w:eastAsia="宋体" w:cs="宋体"/>
          <w:sz w:val="24"/>
          <w:szCs w:val="24"/>
        </w:rPr>
        <w:t xml:space="preserve">（2）服务要求</w:t>
      </w:r>
      <w:r/>
    </w:p>
    <w:tbl>
      <w:tblPr>
        <w:tblStyle w:val="1069"/>
        <w:tblW w:w="9018" w:type="dxa"/>
        <w:jc w:val="center"/>
        <w:tblLayout w:type="fixed"/>
        <w:tblCellMar>
          <w:left w:w="0" w:type="dxa"/>
          <w:top w:w="0" w:type="dxa"/>
          <w:right w:w="0" w:type="dxa"/>
          <w:bottom w:w="0" w:type="dxa"/>
        </w:tblCellMar>
        <w:tblLook w:val="04A0" w:firstRow="1" w:lastRow="0" w:firstColumn="1" w:lastColumn="0" w:noHBand="0" w:noVBand="1"/>
      </w:tblPr>
      <w:tblGrid>
        <w:gridCol w:w="1082"/>
        <w:gridCol w:w="7936"/>
      </w:tblGrid>
      <w:tr>
        <w:trPr>
          <w:jc w:val="center"/>
          <w:trHeight w:val="714"/>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2" w:type="dxa"/>
            <w:vAlign w:val="center"/>
            <w:vMerge w:val="restart"/>
            <w:textDirection w:val="lrTb"/>
            <w:noWrap w:val="false"/>
          </w:tcPr>
          <w:p>
            <w:pPr>
              <w:jc w:val="center"/>
              <w:spacing w:before="120" w:after="120"/>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系统对接需求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36" w:type="dxa"/>
            <w:vAlign w:val="center"/>
            <w:textDirection w:val="lrTb"/>
            <w:noWrap w:val="false"/>
          </w:tcPr>
          <w:p>
            <w:pPr>
              <w:ind w:left="-2"/>
              <w:rPr>
                <w:rFonts w:ascii="宋体" w:hAnsi="宋体" w:cs="宋体"/>
                <w:i/>
                <w:iCs/>
                <w:color w:val="000000" w:themeColor="text1"/>
                <w:sz w:val="24"/>
                <w:szCs w:val="24"/>
                <w:u w:val="single"/>
              </w:rPr>
            </w:pPr>
            <w:r>
              <w:rPr>
                <w:rFonts w:hint="eastAsia" w:ascii="宋体" w:hAnsi="宋体" w:cs="宋体"/>
                <w:i/>
                <w:iCs/>
                <w:color w:val="000000" w:themeColor="text1"/>
                <w:sz w:val="24"/>
                <w:szCs w:val="24"/>
                <w:u w:val="single"/>
              </w:rPr>
              <w:t xml:space="preserve">1、线路开通时间：自接到采购人通知后，</w:t>
            </w:r>
            <w:r>
              <w:rPr>
                <w:rFonts w:ascii="宋体" w:hAnsi="宋体" w:cs="宋体"/>
                <w:i/>
                <w:iCs/>
                <w:color w:val="000000" w:themeColor="text1"/>
                <w:sz w:val="24"/>
                <w:szCs w:val="24"/>
                <w:u w:val="single"/>
              </w:rPr>
              <w:t xml:space="preserve">7</w:t>
            </w:r>
            <w:r>
              <w:rPr>
                <w:rFonts w:hint="eastAsia" w:ascii="宋体" w:hAnsi="宋体" w:cs="宋体"/>
                <w:i/>
                <w:iCs/>
                <w:color w:val="000000" w:themeColor="text1"/>
                <w:sz w:val="24"/>
                <w:szCs w:val="24"/>
                <w:u w:val="single"/>
              </w:rPr>
              <w:t xml:space="preserve">个工作日内完成线路开通工作；对于应急线路，投标人在接到通知后24小时内开通。</w:t>
            </w:r>
            <w:r>
              <w:rPr>
                <w:rFonts w:hint="eastAsia" w:ascii="宋体" w:hAnsi="宋体" w:cs="宋体"/>
                <w:b/>
                <w:bCs/>
                <w:i/>
                <w:color w:val="000000"/>
                <w:sz w:val="24"/>
                <w:szCs w:val="24"/>
                <w:u w:val="single"/>
              </w:rPr>
              <w:t xml:space="preserve">（提供承诺函扫描上传）</w:t>
            </w:r>
            <w:r/>
          </w:p>
        </w:tc>
      </w:tr>
      <w:tr>
        <w:trPr>
          <w:jc w:val="center"/>
          <w:trHeight w:val="10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2"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36" w:type="dxa"/>
            <w:vAlign w:val="center"/>
            <w:textDirection w:val="lrTb"/>
            <w:noWrap w:val="false"/>
          </w:tcPr>
          <w:p>
            <w:pPr>
              <w:rPr>
                <w:rFonts w:ascii="宋体" w:hAnsi="宋体" w:cs="宋体"/>
                <w:i/>
                <w:iCs/>
                <w:color w:val="000000" w:themeColor="text1"/>
                <w:sz w:val="24"/>
                <w:szCs w:val="24"/>
                <w:u w:val="single"/>
              </w:rPr>
            </w:pPr>
            <w:r>
              <w:rPr>
                <w:rFonts w:hint="eastAsia" w:ascii="宋体" w:hAnsi="宋体" w:cs="宋体"/>
                <w:i/>
                <w:iCs/>
                <w:color w:val="000000" w:themeColor="text1"/>
                <w:sz w:val="24"/>
                <w:szCs w:val="24"/>
                <w:u w:val="single"/>
              </w:rPr>
              <w:t xml:space="preserve">2、对于既有线路需进行割接的，投标人须于合同签订后3个工作日内向采购人提交详细割接方案，经采购人同意后于</w:t>
            </w:r>
            <w:r>
              <w:rPr>
                <w:rFonts w:ascii="宋体" w:hAnsi="宋体" w:cs="宋体"/>
                <w:i/>
                <w:iCs/>
                <w:color w:val="000000" w:themeColor="text1"/>
                <w:sz w:val="24"/>
                <w:szCs w:val="24"/>
                <w:u w:val="single"/>
              </w:rPr>
              <w:t xml:space="preserve">7</w:t>
            </w:r>
            <w:r>
              <w:rPr>
                <w:rFonts w:hint="eastAsia" w:ascii="宋体" w:hAnsi="宋体" w:cs="宋体"/>
                <w:i/>
                <w:iCs/>
                <w:color w:val="000000" w:themeColor="text1"/>
                <w:sz w:val="24"/>
                <w:szCs w:val="24"/>
                <w:u w:val="single"/>
              </w:rPr>
              <w:t xml:space="preserve">个工作日内完成割接工作，割接过程中须保证原有业务中断时间不超过0.5小时，且相关协调工作均由投标人承担。</w:t>
            </w:r>
            <w:r>
              <w:rPr>
                <w:rFonts w:hint="eastAsia" w:ascii="宋体" w:hAnsi="宋体" w:cs="宋体"/>
                <w:b/>
                <w:bCs/>
                <w:i/>
                <w:color w:val="000000"/>
                <w:sz w:val="24"/>
                <w:szCs w:val="24"/>
                <w:u w:val="single"/>
              </w:rPr>
              <w:t xml:space="preserve">（投标人提供承诺函扫描上传）</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2" w:type="dxa"/>
            <w:vAlign w:val="center"/>
            <w:vMerge w:val="restart"/>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项目实施需求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36" w:type="dxa"/>
            <w:vAlign w:val="center"/>
            <w:textDirection w:val="lrTb"/>
            <w:noWrap w:val="false"/>
          </w:tcPr>
          <w:p>
            <w:pPr>
              <w:rPr>
                <w:rFonts w:ascii="宋体" w:hAnsi="宋体" w:cs="宋体"/>
                <w:iCs/>
                <w:color w:val="000000" w:themeColor="text1"/>
                <w:sz w:val="24"/>
                <w:szCs w:val="24"/>
              </w:rPr>
            </w:pPr>
            <w:r>
              <w:rPr>
                <w:rFonts w:hint="eastAsia" w:ascii="宋体" w:hAnsi="宋体" w:cs="宋体"/>
                <w:iCs/>
                <w:color w:val="000000" w:themeColor="text1"/>
                <w:sz w:val="24"/>
                <w:szCs w:val="24"/>
              </w:rPr>
              <w:t xml:space="preserve">1、线路拆除时间：自接到采购人通知后，5个工作日内完成线路拆除工作。</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2"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36" w:type="dxa"/>
            <w:vAlign w:val="center"/>
            <w:textDirection w:val="lrTb"/>
            <w:noWrap w:val="false"/>
          </w:tcPr>
          <w:p>
            <w:pPr>
              <w:rPr>
                <w:rFonts w:ascii="宋体" w:hAnsi="宋体" w:cs="宋体"/>
                <w:iCs/>
                <w:color w:val="000000" w:themeColor="text1"/>
                <w:sz w:val="24"/>
                <w:szCs w:val="24"/>
              </w:rPr>
            </w:pPr>
            <w:r>
              <w:rPr>
                <w:rFonts w:hint="eastAsia" w:ascii="宋体" w:hAnsi="宋体" w:cs="宋体"/>
                <w:iCs/>
                <w:color w:val="000000" w:themeColor="text1"/>
                <w:sz w:val="24"/>
                <w:szCs w:val="24"/>
              </w:rPr>
              <w:t xml:space="preserve">2、线路迁移时间：自接到采购人通知后，5个工作日内完成线路迁移工作。</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2" w:type="dxa"/>
            <w:vAlign w:val="center"/>
            <w:vMerge w:val="restart"/>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项目管理需求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36" w:type="dxa"/>
            <w:vAlign w:val="center"/>
            <w:textDirection w:val="lrTb"/>
            <w:noWrap w:val="false"/>
          </w:tcPr>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1、对于采购人要求的线路开通端地址，投标人须完全满足，相关进场协调工作及费用由投标人自行承担。</w:t>
            </w:r>
            <w:r/>
          </w:p>
        </w:tc>
      </w:tr>
      <w:tr>
        <w:trPr>
          <w:jc w:val="center"/>
          <w:trHeight w:val="406"/>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2"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36" w:type="dxa"/>
            <w:vAlign w:val="center"/>
            <w:textDirection w:val="lrTb"/>
            <w:noWrap w:val="false"/>
          </w:tcPr>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每月向采购人提供通信线路运行质量报告，（报告内容包括但不限于通信线路的基础信息、各线路的光衰、网络时延、丢包率等状态信息、新增拆机移机等租赁服务信息等），确保通信线路各项运行指标正常。通信线路出现重大故障时，通信备用线路以及端点直连网络设备的备品备件能随时应急启用。要求通信备用线路可用率平均达到99.99%；通信中断4个小时内线路抢修恢复率为100%；平均恢复时间小于2小时。</w:t>
            </w:r>
            <w:r/>
          </w:p>
        </w:tc>
      </w:tr>
      <w:tr>
        <w:trPr>
          <w:jc w:val="center"/>
          <w:trHeight w:val="406"/>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2" w:type="dxa"/>
            <w:vAlign w:val="center"/>
            <w:vMerge w:val="restart"/>
            <w:textDirection w:val="lrTb"/>
            <w:noWrap w:val="false"/>
          </w:tcPr>
          <w:p>
            <w:pPr>
              <w:jc w:val="center"/>
              <w:spacing w:before="120" w:after="120"/>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运维服务需求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36" w:type="dxa"/>
            <w:vAlign w:val="center"/>
            <w:textDirection w:val="lrTb"/>
            <w:noWrap w:val="false"/>
          </w:tcPr>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提供每月常态化全部通信线路的巡检、维护服务，每月巡检次数不少于1次，并提供全面巡检报告，巡检内容包括但不限于通信线路物理状态、行业通用技术指标、采购人定制的相关通信线路配置管理规定的合规性检查、通信线路台账、新增拆机移机情况、租费核准等，提供24小时统一故障申告服务电话，提供故障响应流程和服务承诺。</w:t>
            </w:r>
            <w:r/>
          </w:p>
        </w:tc>
      </w:tr>
      <w:tr>
        <w:trPr>
          <w:jc w:val="center"/>
          <w:trHeight w:val="16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2"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36" w:type="dxa"/>
            <w:vAlign w:val="center"/>
            <w:textDirection w:val="lrTb"/>
            <w:noWrap w:val="false"/>
          </w:tcPr>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除人为破坏和不可抗力影响外，如通信线路发生大面积中断故障（故障比例达到线路总数3%及以上），时间连续超过4小时，投标人扣除1个月的全部通信线路租用费用；达12小时，投标人扣除2个月的全部通信线路租用费用；一年内发生大面积中断超过2次，采购人有权终止合同，投标人须承担相关法律责任。中断故障时间的计算，以投标人接到采购人通知或投标人查出中断的时间起至恢复通信服务时止。</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2"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36" w:type="dxa"/>
            <w:vAlign w:val="center"/>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t xml:space="preserve">3、</w:t>
            </w:r>
            <w:r>
              <w:rPr>
                <w:rFonts w:hint="eastAsia" w:ascii="宋体" w:hAnsi="宋体" w:cs="宋体"/>
                <w:color w:val="000000" w:themeColor="text1"/>
                <w:sz w:val="24"/>
                <w:szCs w:val="24"/>
              </w:rPr>
              <w:t xml:space="preserve">除人为破坏和不可抗力影响外，如通信线路发生一般中断故障（单条线路中断时间达10分钟计为1次）每达3次，根据投标人的应答价格，扣除该条线路当月线路租赁费。若因市政等原因导致的长时间断网（超过1个月）投标人需提前报备并提供解决方案，如无解决方案将作为停机处理并扣除相应的租赁费用。</w:t>
            </w:r>
            <w:r/>
          </w:p>
        </w:tc>
      </w:tr>
      <w:tr>
        <w:trPr>
          <w:jc w:val="center"/>
          <w:trHeight w:val="189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2" w:type="dxa"/>
            <w:vAlign w:val="center"/>
            <w:vMerge w:val="restart"/>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应急保障需求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36" w:type="dxa"/>
            <w:vAlign w:val="center"/>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投标人需根据采购人的要求，及时派出技术维护人员到重要保障任务现场提供服务保障，遇有重大活动、会议任务，需提前检查线路及设备，并配备2名现场值守人员，遇到网络故障立即处置；在采购人提出的重要保障任务中，如发生通信线路或相关网络设备故障造成采购人使用受到严重影响，根据投标人的应答价格扣除相应通信线路1月的线路租赁费用，如果一年内发生超过3次，扣除相应通信线路1年的线路租赁费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2"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36"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2、投标人定期按照采购人要求对机房于终端之间的连接光纤检查和免费整理一次。</w:t>
            </w:r>
            <w:r/>
          </w:p>
        </w:tc>
      </w:tr>
      <w:tr>
        <w:trPr>
          <w:jc w:val="center"/>
          <w:trHeight w:val="770"/>
        </w:trPr>
        <w:tc>
          <w:tcPr>
            <w:tcBorders>
              <w:top w:val="single" w:color="000000" w:sz="4" w:space="0"/>
              <w:left w:val="single" w:color="000000" w:sz="4" w:space="0"/>
              <w:right w:val="single" w:color="000000" w:sz="4" w:space="0"/>
            </w:tcBorders>
            <w:tcMar>
              <w:left w:w="10" w:type="dxa"/>
              <w:top w:w="10" w:type="dxa"/>
              <w:right w:w="10" w:type="dxa"/>
            </w:tcMar>
            <w:tcW w:w="1082" w:type="dxa"/>
            <w:vAlign w:val="center"/>
            <w:vMerge w:val="restart"/>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售后服务要求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36" w:type="dxa"/>
            <w:vAlign w:val="center"/>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投标人提供售后服务保障体系和完整合理的售后服务，售后服务中需包含服务内容、响应时间、故障处理、恢复时效、人员力量、支撑保障等内容。</w:t>
            </w:r>
            <w:r/>
          </w:p>
        </w:tc>
      </w:tr>
      <w:tr>
        <w:trPr>
          <w:jc w:val="center"/>
          <w:trHeight w:val="540"/>
        </w:trPr>
        <w:tc>
          <w:tcPr>
            <w:tcBorders>
              <w:left w:val="single" w:color="000000" w:sz="4" w:space="0"/>
              <w:bottom w:val="single" w:color="auto" w:sz="4" w:space="0"/>
              <w:right w:val="single" w:color="000000" w:sz="4" w:space="0"/>
            </w:tcBorders>
            <w:tcMar>
              <w:left w:w="10" w:type="dxa"/>
              <w:top w:w="10" w:type="dxa"/>
              <w:right w:w="10" w:type="dxa"/>
            </w:tcMar>
            <w:tcW w:w="1082"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single" w:color="000000" w:sz="4" w:space="0"/>
              <w:bottom w:val="single" w:color="auto" w:sz="4" w:space="0"/>
              <w:right w:val="single" w:color="000000" w:sz="4" w:space="0"/>
            </w:tcBorders>
            <w:tcMar>
              <w:left w:w="10" w:type="dxa"/>
              <w:top w:w="10" w:type="dxa"/>
              <w:right w:w="10" w:type="dxa"/>
            </w:tcMar>
            <w:tcW w:w="7936" w:type="dxa"/>
            <w:vAlign w:val="center"/>
            <w:textDirection w:val="lrTb"/>
            <w:noWrap w:val="false"/>
          </w:tcPr>
          <w:p>
            <w:pPr>
              <w:rPr>
                <w:rFonts w:ascii="宋体" w:hAnsi="宋体" w:cs="宋体"/>
                <w:color w:val="000000" w:themeColor="text1"/>
                <w:sz w:val="24"/>
                <w:szCs w:val="24"/>
              </w:rPr>
            </w:pPr>
            <w:r>
              <w:rPr>
                <w:rFonts w:hint="eastAsia" w:ascii="宋体" w:hAnsi="宋体" w:cs="宋体"/>
                <w:iCs/>
                <w:color w:val="000000" w:themeColor="text1"/>
                <w:sz w:val="24"/>
                <w:szCs w:val="24"/>
              </w:rPr>
              <w:t xml:space="preserve">2、本项目实施和维护过程中产生一切其他费用由中标人承担，与采购人无关。</w:t>
            </w:r>
            <w:r/>
          </w:p>
        </w:tc>
      </w:tr>
      <w:tr>
        <w:trPr>
          <w:jc w:val="center"/>
          <w:trHeight w:val="810"/>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1082" w:type="dxa"/>
            <w:vAlign w:val="center"/>
            <w:vMerge w:val="restart"/>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其他要求</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936" w:type="dxa"/>
            <w:vAlign w:val="center"/>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合同签订时，采购人将根据既有租赁线路实际使用情况，明确本项目初始线路分配清单，后续如有变化，根据采购人提供的线路开通或拆停单实时纳入本项目中实施，并据实结算费用。</w:t>
            </w:r>
            <w:r/>
          </w:p>
        </w:tc>
      </w:tr>
      <w:tr>
        <w:trPr>
          <w:jc w:val="center"/>
          <w:trHeight w:val="540"/>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1082"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936"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2、各类线路租赁单价应包含线路费用、相关设备费用、施工费用、开户费用等所有费用，投标人不得再收取额外其他费用。</w:t>
            </w:r>
            <w:r/>
          </w:p>
        </w:tc>
      </w:tr>
      <w:tr>
        <w:trPr>
          <w:jc w:val="center"/>
          <w:trHeight w:val="540"/>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1082"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936"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3、项目实施过程中，投标人须严格按照安全施工相关要求开展工作，如发生任何施工事故，后果均由投标人自行承担。</w:t>
            </w:r>
            <w:r/>
          </w:p>
        </w:tc>
      </w:tr>
      <w:tr>
        <w:trPr>
          <w:jc w:val="center"/>
          <w:trHeight w:val="406"/>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1082"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936" w:type="dxa"/>
            <w:vAlign w:val="center"/>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t xml:space="preserve">4、</w:t>
            </w:r>
            <w:r>
              <w:rPr>
                <w:rFonts w:hint="eastAsia" w:ascii="宋体" w:hAnsi="宋体" w:cs="宋体"/>
                <w:color w:val="000000" w:themeColor="text1"/>
                <w:sz w:val="24"/>
                <w:szCs w:val="24"/>
              </w:rPr>
              <w:t xml:space="preserve">投标人如遇必要的如线路改造、线路路由优化等网络割接对采购人线路有影响时，须提前5个工作日以书面方式（加盖公章）告知采购人，经采购人同意后，才可实施。</w:t>
            </w:r>
            <w:r/>
          </w:p>
        </w:tc>
      </w:tr>
      <w:tr>
        <w:trPr>
          <w:jc w:val="center"/>
          <w:trHeight w:val="810"/>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1082"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936"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5、投标人在投标文件中的所有承诺、方案等均须完全履约。在合同签订后，采购人将对投标文件中的内容进行核实，如有不实，视为虚假承诺，采购人有权取消合同，并按照投标人虚假承诺应标处理。</w:t>
            </w:r>
            <w:r/>
          </w:p>
        </w:tc>
      </w:tr>
      <w:tr>
        <w:trPr>
          <w:jc w:val="center"/>
          <w:trHeight w:val="1327"/>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1082" w:type="dxa"/>
            <w:vAlign w:val="center"/>
            <w:vMerge w:val="continue"/>
            <w:textDirection w:val="lrTb"/>
            <w:noWrap w:val="false"/>
          </w:tcPr>
          <w:p>
            <w:pPr>
              <w:jc w:val="center"/>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936" w:type="dxa"/>
            <w:vAlign w:val="center"/>
            <w:textDirection w:val="lrTb"/>
            <w:noWrap w:val="false"/>
          </w:tcPr>
          <w:p>
            <w:pPr>
              <w:rPr>
                <w:rFonts w:ascii="宋体" w:hAnsi="宋体" w:cs="宋体"/>
                <w:color w:val="000000" w:themeColor="text1"/>
                <w:sz w:val="24"/>
                <w:szCs w:val="24"/>
              </w:rPr>
            </w:pPr>
            <w:r>
              <w:rPr>
                <w:rFonts w:hint="eastAsia" w:ascii="宋体" w:hAnsi="宋体" w:cs="宋体"/>
                <w:iCs/>
                <w:color w:val="000000" w:themeColor="text1"/>
                <w:sz w:val="24"/>
                <w:szCs w:val="24"/>
              </w:rPr>
              <w:t xml:space="preserve">6、投标人须接受采购人的数据与网络安全保密管理与监督、人员与公司背景审查、数据与网络保密制度审查等。项目服务期间，如果投标人发生与公安数据相关的安全违规或泄密事件，采购人有权终止合同，取消相关款项支付，并追究投标人的法律责任。</w:t>
            </w:r>
            <w:r/>
          </w:p>
        </w:tc>
      </w:tr>
    </w:tbl>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spacing w:line="0" w:lineRule="atLeast"/>
        <w:rPr>
          <w:rFonts w:hint="eastAsia" w:ascii="宋体" w:hAnsi="宋体"/>
          <w:bCs/>
          <w:color w:val="000000"/>
          <w:sz w:val="24"/>
          <w:szCs w:val="24"/>
        </w:rPr>
      </w:pPr>
      <w:r>
        <w:rPr>
          <w:rFonts w:hint="eastAsia" w:ascii="宋体" w:hAnsi="宋体"/>
          <w:bCs/>
          <w:color w:val="000000"/>
          <w:sz w:val="24"/>
          <w:szCs w:val="24"/>
        </w:rPr>
      </w:r>
      <w:r/>
    </w:p>
    <w:p>
      <w:pPr>
        <w:spacing w:line="0" w:lineRule="atLeast"/>
        <w:rPr>
          <w:rFonts w:hint="eastAsia" w:ascii="宋体" w:hAnsi="宋体"/>
          <w:bCs/>
          <w:color w:val="000000"/>
          <w:sz w:val="24"/>
          <w:szCs w:val="24"/>
        </w:rPr>
      </w:pPr>
      <w:r>
        <w:rPr>
          <w:rFonts w:hint="eastAsia" w:ascii="宋体" w:hAnsi="宋体"/>
          <w:bCs/>
          <w:color w:val="000000"/>
          <w:sz w:val="24"/>
          <w:szCs w:val="24"/>
        </w:rPr>
      </w:r>
      <w:r/>
    </w:p>
    <w:p>
      <w:pPr>
        <w:rPr>
          <w:rFonts w:hint="eastAsia"/>
          <w:color w:val="000000"/>
        </w:rPr>
      </w:pPr>
      <w:r>
        <w:rPr>
          <w:rFonts w:hint="eastAsia"/>
          <w:color w:val="000000"/>
        </w:rPr>
      </w:r>
      <w:r/>
    </w:p>
    <w:p>
      <w:pPr>
        <w:pStyle w:val="1243"/>
        <w:rPr>
          <w:rFonts w:hint="eastAsia" w:ascii="黑体" w:eastAsia="黑体"/>
          <w:bCs/>
          <w:color w:val="000000"/>
          <w:sz w:val="44"/>
        </w:rPr>
      </w:pPr>
      <w:r>
        <w:rPr>
          <w:rFonts w:hint="eastAsia" w:ascii="黑体" w:eastAsia="黑体"/>
          <w:bCs/>
          <w:color w:val="000000"/>
          <w:sz w:val="44"/>
        </w:rPr>
      </w:r>
      <w:r/>
    </w:p>
    <w:p>
      <w:pPr>
        <w:rPr>
          <w:rFonts w:hint="eastAsia" w:ascii="黑体" w:eastAsia="黑体"/>
          <w:bCs/>
          <w:color w:val="000000"/>
          <w:sz w:val="44"/>
        </w:rPr>
      </w:pPr>
      <w:r>
        <w:rPr>
          <w:rFonts w:hint="eastAsia" w:ascii="黑体" w:eastAsia="黑体"/>
          <w:bCs/>
          <w:color w:val="000000"/>
          <w:sz w:val="44"/>
        </w:rPr>
        <w:br w:type="page" w:clear="all"/>
      </w:r>
      <w:r/>
    </w:p>
    <w:p>
      <w:pPr>
        <w:pStyle w:val="1243"/>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rFonts w:hint="eastAsia"/>
          <w:color w:val="000000"/>
        </w:rPr>
      </w:pPr>
      <w:r>
        <w:rPr>
          <w:rFonts w:hint="eastAsia"/>
          <w:color w:val="000000"/>
        </w:rPr>
      </w:r>
      <w:r/>
    </w:p>
    <w:p>
      <w:pPr>
        <w:numPr>
          <w:ilvl w:val="0"/>
          <w:numId w:val="7"/>
        </w:numPr>
        <w:ind w:firstLine="482"/>
        <w:spacing w:line="360" w:lineRule="auto"/>
        <w:rPr>
          <w:rFonts w:hint="eastAsia" w:ascii="宋体" w:hAnsi="宋体"/>
          <w:b/>
          <w:bCs/>
          <w:sz w:val="24"/>
          <w:szCs w:val="24"/>
          <w:lang w:val="en-US" w:eastAsia="zh-CN"/>
        </w:rPr>
      </w:pPr>
      <w:r>
        <w:rPr>
          <w:rFonts w:hint="eastAsia" w:ascii="宋体" w:hAnsi="宋体"/>
          <w:b/>
          <w:bCs/>
          <w:sz w:val="24"/>
          <w:szCs w:val="24"/>
          <w:lang w:val="en-US" w:eastAsia="zh-CN"/>
        </w:rPr>
        <w:t xml:space="preserve">评标方法</w:t>
      </w:r>
      <w:r/>
    </w:p>
    <w:p>
      <w:pPr>
        <w:numPr>
          <w:ilvl w:val="0"/>
          <w:numId w:val="0"/>
        </w:numPr>
        <w:ind w:firstLine="480"/>
        <w:spacing w:line="360" w:lineRule="auto"/>
        <w:rPr>
          <w:rFonts w:hint="eastAsia" w:ascii="宋体" w:hAnsi="宋体"/>
          <w:sz w:val="24"/>
          <w:szCs w:val="24"/>
        </w:rPr>
      </w:pPr>
      <w:r>
        <w:rPr>
          <w:rFonts w:hint="eastAsia" w:ascii="宋体" w:hAnsi="宋体"/>
          <w:sz w:val="24"/>
          <w:szCs w:val="24"/>
        </w:rPr>
        <w:t xml:space="preserve">本项目包</w:t>
      </w:r>
      <w:r>
        <w:rPr>
          <w:rFonts w:hint="eastAsia" w:ascii="宋体" w:hAnsi="宋体"/>
          <w:sz w:val="24"/>
          <w:szCs w:val="24"/>
          <w:lang w:val="en-US" w:eastAsia="zh-CN"/>
        </w:rPr>
        <w:t xml:space="preserve">一</w:t>
      </w:r>
      <w:r>
        <w:rPr>
          <w:rFonts w:hint="eastAsia" w:ascii="宋体" w:hAnsi="宋体"/>
          <w:sz w:val="24"/>
          <w:szCs w:val="24"/>
        </w:rPr>
        <w:t xml:space="preserve">至包</w:t>
      </w:r>
      <w:r>
        <w:rPr>
          <w:rFonts w:hint="eastAsia" w:ascii="宋体" w:hAnsi="宋体"/>
          <w:sz w:val="24"/>
          <w:szCs w:val="24"/>
          <w:lang w:val="en-US" w:eastAsia="zh-CN"/>
        </w:rPr>
        <w:t xml:space="preserve">四</w:t>
      </w:r>
      <w:r>
        <w:rPr>
          <w:rFonts w:hint="eastAsia" w:ascii="宋体" w:hAnsi="宋体"/>
          <w:sz w:val="24"/>
          <w:szCs w:val="24"/>
        </w:rPr>
        <w:t xml:space="preserve">采用</w:t>
      </w:r>
      <w:r>
        <w:rPr>
          <w:rFonts w:hint="eastAsia" w:ascii="宋体" w:hAnsi="宋体"/>
          <w:b/>
          <w:bCs/>
          <w:sz w:val="24"/>
          <w:szCs w:val="24"/>
        </w:rPr>
        <w:t xml:space="preserve">最低评标价法</w:t>
      </w:r>
      <w:r>
        <w:rPr>
          <w:rFonts w:hint="eastAsia" w:ascii="宋体" w:hAnsi="宋体"/>
          <w:sz w:val="24"/>
          <w:szCs w:val="24"/>
        </w:rPr>
        <w:t xml:space="preserve">，投标文件满足招标文件全部实质性要求，且投标报价最低的投标人为中标候选人。如报价相同，以随机抽取的方式确定中标人。本项目推荐中标候选人1家。</w:t>
      </w:r>
      <w:r/>
    </w:p>
    <w:p>
      <w:pPr>
        <w:ind w:firstLine="482"/>
        <w:spacing w:line="360" w:lineRule="auto"/>
        <w:rPr>
          <w:rFonts w:cs="Arial"/>
          <w:color w:val="000000"/>
        </w:rPr>
      </w:pPr>
      <w:r>
        <w:rPr>
          <w:rFonts w:hint="eastAsia" w:ascii="宋体" w:hAnsi="宋体"/>
          <w:sz w:val="24"/>
          <w:szCs w:val="24"/>
        </w:rPr>
        <w:t xml:space="preserve">采用最低评标价法评标时，除了算术修正和落实政府采购政策需进行的价格扣除外，不能对投标人的投标价格进行任何调整。</w:t>
      </w:r>
      <w:r/>
    </w:p>
    <w:p>
      <w:pPr>
        <w:pStyle w:val="1328"/>
        <w:ind w:firstLine="441"/>
        <w:spacing w:line="0" w:lineRule="atLeast"/>
        <w:rPr>
          <w:rFonts w:hint="eastAsia" w:ascii="宋体" w:hAnsi="宋体"/>
          <w:b/>
          <w:color w:val="000000"/>
          <w:highlight w:val="yellow"/>
        </w:rPr>
      </w:pPr>
      <w:r>
        <w:rPr>
          <w:rFonts w:hint="eastAsia" w:ascii="宋体" w:hAnsi="宋体"/>
          <w:b/>
          <w:color w:val="000000"/>
          <w:lang w:val="en-US" w:eastAsia="zh-CN"/>
        </w:rPr>
        <w:t xml:space="preserve">二、</w:t>
      </w:r>
      <w:r>
        <w:rPr>
          <w:rFonts w:hint="eastAsia" w:ascii="宋体" w:hAnsi="宋体"/>
          <w:b/>
          <w:color w:val="000000"/>
        </w:rPr>
        <w:t xml:space="preserve">政府采购政策功能落实</w:t>
      </w:r>
      <w:r/>
    </w:p>
    <w:p>
      <w:pPr>
        <w:ind w:firstLine="441"/>
        <w:jc w:val="left"/>
        <w:spacing w:before="120" w:after="120" w:line="0" w:lineRule="atLeast"/>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本项目专门面向中小企业：否</w:t>
      </w:r>
      <w:r/>
    </w:p>
    <w:tbl>
      <w:tblPr>
        <w:tblStyle w:val="106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专门面向中小企业</w:t>
            </w:r>
            <w:r/>
          </w:p>
        </w:tc>
      </w:tr>
      <w:tr>
        <w:trPr/>
        <w:tc>
          <w:tcPr>
            <w:tcW w:w="1357"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rPr>
              <w:t xml:space="preserve">1</w:t>
            </w:r>
            <w:r>
              <w:rPr>
                <w:rFonts w:hint="eastAsia" w:ascii="宋体" w:hAnsi="宋体"/>
                <w:sz w:val="24"/>
                <w:szCs w:val="24"/>
                <w:lang w:val="en-US" w:eastAsia="zh-CN"/>
              </w:rPr>
              <w:t xml:space="preserve">-4包</w:t>
            </w:r>
            <w:r/>
          </w:p>
        </w:tc>
        <w:tc>
          <w:tcPr>
            <w:tcW w:w="2485"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480"/>
        <w:jc w:val="left"/>
        <w:spacing w:before="120" w:after="120" w:line="0" w:lineRule="atLeast"/>
        <w:rPr>
          <w:rFonts w:hint="eastAsia" w:ascii="宋体" w:hAnsi="宋体" w:eastAsia="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themeColor="text1"/>
          <w:sz w:val="24"/>
          <w:szCs w:val="24"/>
        </w:rPr>
      </w:pPr>
      <w:r>
        <w:rPr>
          <w:rFonts w:hint="eastAsia" w:ascii="宋体" w:hAnsi="宋体"/>
          <w:color w:val="000000"/>
          <w:sz w:val="24"/>
          <w:szCs w:val="24"/>
        </w:rPr>
        <w:t xml:space="preserve">（1）本项目对小型和微型企业产品给</w:t>
      </w:r>
      <w:r>
        <w:rPr>
          <w:rFonts w:hint="eastAsia" w:ascii="宋体" w:hAnsi="宋体"/>
          <w:color w:val="000000" w:themeColor="text1"/>
          <w:sz w:val="24"/>
          <w:szCs w:val="24"/>
        </w:rPr>
        <w:t xml:space="preserve">予</w:t>
      </w:r>
      <w:r>
        <w:rPr>
          <w:rFonts w:hint="eastAsia" w:ascii="宋体" w:hAnsi="宋体"/>
          <w:color w:val="000000" w:themeColor="text1"/>
          <w:sz w:val="24"/>
          <w:szCs w:val="24"/>
          <w:highlight w:val="white"/>
          <w:u w:val="single"/>
          <w:lang w:val="en-US" w:eastAsia="zh-CN"/>
        </w:rPr>
        <w:t xml:space="preserve">1</w:t>
      </w:r>
      <w:r>
        <w:rPr>
          <w:rFonts w:hint="eastAsia" w:ascii="宋体" w:hAnsi="宋体"/>
          <w:color w:val="000000" w:themeColor="text1"/>
          <w:sz w:val="24"/>
          <w:szCs w:val="24"/>
          <w:highlight w:val="white"/>
          <w:u w:val="single"/>
        </w:rPr>
        <w:t xml:space="preserve">0%</w:t>
      </w:r>
      <w:r>
        <w:rPr>
          <w:rFonts w:hint="eastAsia" w:ascii="宋体" w:hAnsi="宋体"/>
          <w:color w:val="000000" w:themeColor="text1"/>
          <w:sz w:val="24"/>
          <w:szCs w:val="24"/>
        </w:rPr>
        <w:t xml:space="preserve">的扣除价格，用扣除后的价格参与评审。</w:t>
      </w:r>
      <w:r>
        <w:rPr>
          <w:color w:val="000000" w:themeColor="text1"/>
        </w:rPr>
      </w:r>
      <w:r/>
    </w:p>
    <w:p>
      <w:pPr>
        <w:ind w:firstLine="360"/>
        <w:jc w:val="left"/>
        <w:spacing w:before="120" w:after="120"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（2）供应商需按照采购文件的要求提供</w:t>
      </w:r>
      <w:r>
        <w:rPr>
          <w:rFonts w:hint="eastAsia" w:ascii="宋体" w:hAnsi="宋体"/>
          <w:color w:val="000000" w:themeColor="text1"/>
          <w:sz w:val="24"/>
          <w:szCs w:val="24"/>
        </w:rPr>
        <w:t xml:space="preserve">相应的《中小企业声明函</w:t>
      </w:r>
      <w:r>
        <w:rPr>
          <w:rFonts w:hint="eastAsia" w:ascii="宋体" w:hAnsi="宋体"/>
          <w:color w:val="000000" w:themeColor="text1"/>
          <w:sz w:val="24"/>
          <w:szCs w:val="24"/>
        </w:rPr>
        <w:t xml:space="preserve">》。</w:t>
      </w:r>
      <w:r>
        <w:rPr>
          <w:color w:val="000000" w:themeColor="text1"/>
        </w:rPr>
      </w:r>
      <w:r/>
    </w:p>
    <w:p>
      <w:pPr>
        <w:pStyle w:val="1328"/>
        <w:ind w:firstLine="360"/>
        <w:spacing w:line="0" w:lineRule="atLeast"/>
        <w:rPr>
          <w:rFonts w:hint="default" w:ascii="宋体" w:hAnsi="宋体" w:eastAsia="宋体"/>
          <w:color w:val="000000" w:themeColor="text1"/>
          <w:sz w:val="24"/>
          <w:szCs w:val="24"/>
        </w:rPr>
      </w:pPr>
      <w:r>
        <w:rPr>
          <w:rFonts w:hint="eastAsia" w:ascii="宋体" w:hAnsi="宋体" w:eastAsia="宋体" w:cs="Times New Roman"/>
          <w:color w:val="000000" w:themeColor="text1"/>
          <w:sz w:val="24"/>
          <w:szCs w:val="24"/>
          <w:lang w:val="en-US" w:eastAsia="zh-CN" w:bidi="ar-SA"/>
        </w:rPr>
        <w:t xml:space="preserve">（3）企业标准请参照《关于印发中小企业划型标准规定的通知》（工信部联企业[2011]300号）文件规定自行填写。</w:t>
      </w:r>
      <w:r>
        <w:rPr>
          <w:color w:val="000000" w:themeColor="text1"/>
        </w:rPr>
      </w:r>
      <w:r/>
    </w:p>
    <w:p>
      <w:pPr>
        <w:ind w:firstLine="480"/>
        <w:jc w:val="left"/>
        <w:spacing w:before="120" w:after="120"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2、残疾人福利单位价格扣除</w:t>
      </w:r>
      <w:r>
        <w:rPr>
          <w:color w:val="000000" w:themeColor="text1"/>
        </w:rPr>
      </w:r>
      <w:r/>
    </w:p>
    <w:p>
      <w:pPr>
        <w:ind w:left="120" w:firstLine="360"/>
        <w:jc w:val="left"/>
        <w:spacing w:before="120" w:after="120"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（1）本项目对残疾人福利性单位视同小型、微型企业，给予</w:t>
      </w:r>
      <w:r>
        <w:rPr>
          <w:rFonts w:hint="eastAsia" w:ascii="宋体" w:hAnsi="宋体"/>
          <w:color w:val="000000" w:themeColor="text1"/>
          <w:sz w:val="24"/>
          <w:szCs w:val="24"/>
          <w:highlight w:val="white"/>
          <w:u w:val="single"/>
          <w:lang w:val="en-US" w:eastAsia="zh-CN"/>
        </w:rPr>
        <w:t xml:space="preserve">1</w:t>
      </w:r>
      <w:r>
        <w:rPr>
          <w:rFonts w:hint="eastAsia" w:ascii="宋体" w:hAnsi="宋体"/>
          <w:color w:val="000000" w:themeColor="text1"/>
          <w:sz w:val="24"/>
          <w:szCs w:val="24"/>
          <w:highlight w:val="white"/>
          <w:u w:val="single"/>
        </w:rPr>
        <w:t xml:space="preserve">0%</w:t>
      </w:r>
      <w:r>
        <w:rPr>
          <w:rFonts w:hint="eastAsia" w:ascii="宋体" w:hAnsi="宋体"/>
          <w:color w:val="000000" w:themeColor="text1"/>
          <w:sz w:val="24"/>
          <w:szCs w:val="24"/>
        </w:rPr>
        <w:t xml:space="preserve">的价格扣除，用扣除后的价格参与评审。</w:t>
      </w:r>
      <w:r>
        <w:rPr>
          <w:color w:val="000000" w:themeColor="text1"/>
        </w:rPr>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highlight w:val="white"/>
          <w:u w:val="single"/>
          <w:lang w:val="en-US" w:eastAsia="zh-CN"/>
        </w:rPr>
        <w:t xml:space="preserve">1</w:t>
      </w:r>
      <w:r>
        <w:rPr>
          <w:rFonts w:hint="eastAsia" w:ascii="宋体" w:hAnsi="宋体"/>
          <w:color w:val="000000"/>
          <w:sz w:val="24"/>
          <w:szCs w:val="24"/>
          <w:highlight w:val="white"/>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white"/>
          <w:u w:val="single"/>
        </w:rPr>
        <w:t xml:space="preserve">6</w:t>
      </w:r>
      <w:r>
        <w:rPr>
          <w:rFonts w:hint="eastAsia" w:ascii="宋体" w:hAnsi="宋体"/>
          <w:color w:val="000000"/>
          <w:sz w:val="24"/>
          <w:szCs w:val="24"/>
          <w:highlight w:val="white"/>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highlight w:val="white"/>
          <w:u w:val="single"/>
          <w:lang w:val="en-US" w:eastAsia="zh-CN"/>
        </w:rPr>
        <w:t xml:space="preserve">1</w:t>
      </w:r>
      <w:r>
        <w:rPr>
          <w:rFonts w:hint="eastAsia" w:ascii="宋体" w:hAnsi="宋体"/>
          <w:color w:val="000000"/>
          <w:sz w:val="24"/>
          <w:szCs w:val="24"/>
          <w:highlight w:val="white"/>
          <w:u w:val="single"/>
        </w:rPr>
        <w:t xml:space="preserve">0%</w:t>
      </w:r>
      <w:r>
        <w:rPr>
          <w:rFonts w:hint="eastAsia" w:ascii="宋体" w:hAnsi="宋体"/>
          <w:color w:val="000000"/>
          <w:sz w:val="24"/>
          <w:szCs w:val="24"/>
        </w:rPr>
        <w:t xml:space="preserve">价格扣除，用扣除后的价格参与评审。</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1243"/>
        <w:rPr>
          <w:rFonts w:hint="eastAsia" w:ascii="黑体" w:eastAsia="黑体"/>
          <w:bCs/>
          <w:color w:val="000000"/>
          <w:sz w:val="4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eastAsia="黑体"/>
          <w:bCs/>
          <w:color w:val="000000"/>
          <w:sz w:val="44"/>
        </w:rPr>
      </w:r>
      <w:r/>
    </w:p>
    <w:p>
      <w:pPr>
        <w:pStyle w:val="1243"/>
        <w:rPr>
          <w:rFonts w:hint="eastAsia" w:ascii="黑体" w:eastAsia="黑体"/>
          <w:bCs/>
          <w:color w:val="000000"/>
          <w:sz w:val="44"/>
        </w:rPr>
      </w:pPr>
      <w:r>
        <w:rPr>
          <w:rFonts w:hint="eastAsia" w:ascii="黑体" w:eastAsia="黑体"/>
          <w:bCs/>
          <w:color w:val="000000"/>
          <w:sz w:val="44"/>
        </w:rPr>
        <w:t xml:space="preserve">第六章  投标</w:t>
      </w:r>
      <w:bookmarkEnd w:id="191"/>
      <w:r/>
      <w:bookmarkEnd w:id="192"/>
      <w:r/>
      <w:bookmarkEnd w:id="193"/>
      <w:r>
        <w:rPr>
          <w:rFonts w:hint="eastAsia" w:ascii="黑体" w:eastAsia="黑体"/>
          <w:bCs/>
          <w:color w:val="000000"/>
          <w:sz w:val="44"/>
        </w:rPr>
        <w:t xml:space="preserve">文件格式 </w:t>
      </w:r>
      <w:r/>
    </w:p>
    <w:p>
      <w:pPr>
        <w:jc w:val="center"/>
        <w:rPr>
          <w:rFonts w:hint="eastAsia" w:ascii="宋体" w:hAnsi="宋体"/>
          <w:b/>
          <w:color w:val="000000"/>
          <w:sz w:val="72"/>
        </w:rPr>
      </w:pPr>
      <w:r/>
      <w:bookmarkStart w:id="194" w:name="_Hlt26671244"/>
      <w:r/>
      <w:bookmarkEnd w:id="194"/>
      <w:r/>
      <w:bookmarkStart w:id="195" w:name="_Hlt26955039"/>
      <w:r/>
      <w:bookmarkEnd w:id="195"/>
      <w:r/>
      <w:bookmarkStart w:id="196" w:name="_Toc120614282"/>
      <w:r/>
      <w:bookmarkStart w:id="197" w:name="_Toc26554094"/>
      <w:r/>
      <w:bookmarkStart w:id="198" w:name="_Toc49090576"/>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jc w:val="center"/>
        <w:spacing w:line="440" w:lineRule="exact"/>
        <w:rPr>
          <w:rFonts w:hint="eastAsia" w:ascii="宋体" w:hAnsi="宋体"/>
          <w:b/>
          <w:bCs/>
          <w:color w:val="000000"/>
          <w:sz w:val="32"/>
          <w:szCs w:val="32"/>
        </w:rPr>
        <w:sectPr>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pStyle w:val="1089"/>
        <w:keepLines w:val="0"/>
        <w:keepNext w:val="0"/>
        <w:pageBreakBefore w:val="0"/>
        <w:widowControl w:val="off"/>
        <w:rPr>
          <w:rFonts w:hint="default" w:ascii="宋体" w:hAnsi="宋体" w:eastAsia="宋体" w:cs="Times New Roman"/>
          <w:sz w:val="24"/>
          <w:szCs w:val="21"/>
          <w:highlight w:val="yellow"/>
          <w:lang w:val="en-US" w:eastAsia="zh-CN" w:bidi="ar-SA"/>
        </w:rPr>
      </w:pPr>
      <w:r>
        <w:rPr>
          <w:rFonts w:hint="eastAsia" w:ascii="宋体" w:hAnsi="宋体" w:eastAsia="宋体" w:cs="Times New Roman"/>
          <w:sz w:val="24"/>
          <w:szCs w:val="21"/>
          <w:lang w:val="en-US" w:eastAsia="zh-CN" w:bidi="ar-SA"/>
        </w:rPr>
        <w:t xml:space="preserve">8.联合体协议（格式见附件13）。</w:t>
      </w:r>
      <w:r>
        <w:rPr>
          <w:rFonts w:hint="eastAsia" w:ascii="宋体" w:hAnsi="宋体" w:eastAsia="宋体" w:cs="Times New Roman"/>
          <w:color w:val="ff0000"/>
          <w:sz w:val="24"/>
          <w:szCs w:val="21"/>
          <w:lang w:val="en-US" w:eastAsia="zh-CN" w:bidi="ar-SA"/>
        </w:rPr>
        <w:t xml:space="preserve">如果本项目接受联合体投标，投标人是联合体的，则必须提供。</w:t>
      </w:r>
      <w:r/>
    </w:p>
    <w:p>
      <w:pPr>
        <w:ind w:firstLine="480"/>
        <w:keepLines w:val="0"/>
        <w:keepNext w:val="0"/>
        <w:pageBreakBefore w:val="0"/>
        <w:spacing w:line="400" w:lineRule="exact"/>
        <w:widowControl w:val="off"/>
        <w:rPr>
          <w:rFonts w:hint="eastAsia" w:eastAsia="宋体"/>
          <w:color w:val="ff0000"/>
          <w:lang w:eastAsia="zh-CN"/>
        </w:rPr>
      </w:pPr>
      <w:r>
        <w:rPr>
          <w:rFonts w:hint="eastAsia" w:ascii="宋体" w:hAnsi="宋体"/>
          <w:sz w:val="24"/>
          <w:szCs w:val="21"/>
          <w:lang w:val="en-US" w:eastAsia="zh-CN"/>
        </w:rPr>
        <w:t xml:space="preserve">9</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ascii="宋体" w:hAnsi="宋体"/>
          <w:sz w:val="24"/>
          <w:szCs w:val="21"/>
        </w:rPr>
        <w:sectPr>
          <w:footerReference w:type="default" r:id="rId15"/>
          <w:footerReference w:type="first" r:id="rId16"/>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w:t>
      </w:r>
      <w:r/>
    </w:p>
    <w:p>
      <w:pPr>
        <w:ind w:firstLine="480"/>
        <w:spacing w:line="400" w:lineRule="exact"/>
        <w:rPr>
          <w:rFonts w:hint="eastAsia" w:ascii="宋体" w:hAnsi="宋体"/>
          <w:sz w:val="24"/>
          <w:szCs w:val="21"/>
        </w:rPr>
      </w:pPr>
      <w:r>
        <w:rPr>
          <w:rFonts w:ascii="宋体" w:hAnsi="宋体"/>
          <w:sz w:val="24"/>
          <w:szCs w:val="21"/>
        </w:rPr>
        <w:t xml:space="preserve">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w:t>
      </w:r>
      <w:r>
        <w:rPr>
          <w:rFonts w:hint="eastAsia" w:ascii="宋体" w:hAnsi="宋体"/>
          <w:sz w:val="24"/>
          <w:szCs w:val="21"/>
          <w:lang w:val="en-US" w:eastAsia="zh-CN"/>
        </w:rPr>
        <w:t xml:space="preserve">4</w:t>
      </w:r>
      <w:r>
        <w:rPr>
          <w:rFonts w:hint="eastAsia" w:ascii="宋体" w:hAnsi="宋体"/>
          <w:sz w:val="24"/>
          <w:szCs w:val="21"/>
        </w:rPr>
        <w:t xml:space="preserve">）</w:t>
      </w:r>
      <w:r/>
    </w:p>
    <w:p>
      <w:pPr>
        <w:pStyle w:val="1087"/>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    四、价格扣除证明文件</w:t>
      </w:r>
      <w:r/>
    </w:p>
    <w:p>
      <w:pPr>
        <w:pStyle w:val="1087"/>
        <w:ind w:left="0" w:right="0" w:firstLine="480"/>
        <w:jc w:val="both"/>
        <w:keepLines w:val="0"/>
        <w:keepNext w:val="0"/>
        <w:spacing w:before="0" w:beforeAutospacing="0" w:after="0" w:afterAutospacing="0"/>
        <w:widowControl w:val="off"/>
        <w:rPr>
          <w:rFonts w:hint="eastAsia"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p>
    <w:p>
      <w:pPr>
        <w:pStyle w:val="1087"/>
        <w:ind w:left="0" w:right="0" w:firstLine="480"/>
        <w:jc w:val="both"/>
        <w:keepLines w:val="0"/>
        <w:keepNext w:val="0"/>
        <w:spacing w:before="0" w:beforeAutospacing="0" w:after="0" w:afterAutospacing="0"/>
        <w:widowControl w:val="off"/>
        <w:rPr>
          <w:rFonts w:hint="default"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p>
    <w:p>
      <w:pPr>
        <w:pStyle w:val="1087"/>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1087"/>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1087"/>
        <w:ind w:left="0" w:right="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附件1 开标一览表</w:t>
      </w:r>
      <w:r/>
    </w:p>
    <w:p>
      <w:pPr>
        <w:pStyle w:val="1087"/>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1087"/>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1087"/>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p>
    <w:p>
      <w:pPr>
        <w:pStyle w:val="1087"/>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采购包号：</w:t>
      </w:r>
      <w:r/>
    </w:p>
    <w:tbl>
      <w:tblPr>
        <w:tblStyle w:val="10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lang w:val="en-US" w:eastAsia="zh-CN"/>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pStyle w:val="1087"/>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87"/>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1087"/>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投标分项报价表（采购包号：**）</w:t>
      </w:r>
      <w:r/>
    </w:p>
    <w:tbl>
      <w:tblPr>
        <w:tblStyle w:val="1069"/>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keepLines w:val="0"/>
              <w:keepNext w:val="0"/>
              <w:pageBreakBefore w:val="0"/>
              <w:spacing w:line="360" w:lineRule="auto"/>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pStyle w:val="108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108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108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108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108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2.“投标分项报价表”中“投标总报价”数额应当与“开标一览表”中“投标总报价”数额一致。</w:t>
      </w:r>
      <w:r/>
    </w:p>
    <w:p>
      <w:pPr>
        <w:jc w:val="both"/>
        <w:rPr>
          <w:rFonts w:hint="eastAsia" w:ascii="宋体" w:hAnsi="宋体"/>
          <w:b/>
          <w:sz w:val="24"/>
          <w:szCs w:val="24"/>
        </w:rPr>
      </w:pPr>
      <w:r>
        <w:rPr>
          <w:rFonts w:hint="eastAsia" w:ascii="宋体" w:hAnsi="宋体"/>
          <w:b/>
          <w:sz w:val="24"/>
          <w:szCs w:val="24"/>
        </w:rPr>
      </w:r>
      <w:r/>
    </w:p>
    <w:p>
      <w:pPr>
        <w:jc w:val="both"/>
        <w:rPr>
          <w:rFonts w:hint="eastAsia" w:ascii="宋体" w:hAnsi="宋体"/>
          <w:b/>
          <w:sz w:val="24"/>
          <w:szCs w:val="24"/>
        </w:rPr>
      </w:pPr>
      <w:r>
        <w:rPr>
          <w:rFonts w:hint="eastAsia" w:ascii="宋体" w:hAnsi="宋体"/>
          <w:b/>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tbl>
      <w:tblPr>
        <w:tblStyle w:val="10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1089"/>
        <w:ind w:left="0" w:firstLine="0"/>
        <w:rPr>
          <w:rFonts w:hint="eastAsia" w:ascii="宋体" w:hAnsi="宋体"/>
          <w:sz w:val="24"/>
          <w:szCs w:val="24"/>
        </w:rPr>
      </w:pPr>
      <w:r>
        <w:rPr>
          <w:rFonts w:hint="eastAsia" w:ascii="宋体" w:hAnsi="宋体"/>
          <w:sz w:val="24"/>
          <w:szCs w:val="24"/>
        </w:rPr>
      </w:r>
      <w:r/>
    </w:p>
    <w:p>
      <w:pPr>
        <w:pStyle w:val="1089"/>
        <w:rPr>
          <w:rFonts w:hint="eastAsia" w:ascii="宋体" w:hAnsi="宋体"/>
          <w:sz w:val="24"/>
          <w:szCs w:val="24"/>
        </w:rPr>
      </w:pPr>
      <w:r>
        <w:rPr>
          <w:rFonts w:hint="eastAsia" w:ascii="宋体" w:hAnsi="宋体"/>
          <w:sz w:val="24"/>
          <w:szCs w:val="24"/>
        </w:rPr>
      </w:r>
      <w:r/>
    </w:p>
    <w:p>
      <w:pPr>
        <w:pStyle w:val="1089"/>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tbl>
      <w:tblPr>
        <w:tblStyle w:val="10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pStyle w:val="1089"/>
        <w:rPr>
          <w:rFonts w:hint="eastAsia" w:ascii="宋体" w:hAnsi="宋体"/>
          <w:b/>
          <w:sz w:val="24"/>
          <w:szCs w:val="21"/>
        </w:rPr>
      </w:pPr>
      <w:r>
        <w:rPr>
          <w:rFonts w:hint="eastAsia" w:ascii="宋体" w:hAnsi="宋体"/>
          <w:b/>
          <w:sz w:val="24"/>
          <w:szCs w:val="21"/>
        </w:rPr>
      </w:r>
      <w:r/>
    </w:p>
    <w:p>
      <w:pPr>
        <w:pStyle w:val="1089"/>
        <w:rPr>
          <w:rFonts w:hint="eastAsia" w:ascii="宋体" w:hAnsi="宋体"/>
          <w:b/>
          <w:sz w:val="24"/>
          <w:szCs w:val="21"/>
        </w:rPr>
      </w:pPr>
      <w:r>
        <w:rPr>
          <w:rFonts w:hint="eastAsia" w:ascii="宋体" w:hAnsi="宋体"/>
          <w:b/>
          <w:sz w:val="24"/>
          <w:szCs w:val="21"/>
        </w:rPr>
      </w:r>
      <w:r/>
    </w:p>
    <w:p>
      <w:pPr>
        <w:pStyle w:val="1089"/>
        <w:rPr>
          <w:rFonts w:hint="eastAsia" w:ascii="宋体" w:hAnsi="宋体"/>
          <w:b/>
          <w:sz w:val="24"/>
          <w:szCs w:val="21"/>
        </w:rPr>
      </w:pPr>
      <w:r>
        <w:rPr>
          <w:rFonts w:hint="eastAsia" w:ascii="宋体" w:hAnsi="宋体"/>
          <w:b/>
          <w:sz w:val="24"/>
          <w:szCs w:val="21"/>
        </w:rPr>
      </w:r>
      <w:r/>
    </w:p>
    <w:p>
      <w:pPr>
        <w:pStyle w:val="1089"/>
        <w:rPr>
          <w:rFonts w:hint="eastAsia" w:ascii="宋体" w:hAnsi="宋体"/>
          <w:b/>
          <w:sz w:val="24"/>
          <w:szCs w:val="21"/>
        </w:rPr>
      </w:pPr>
      <w:r>
        <w:rPr>
          <w:rFonts w:hint="eastAsia"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rPr>
          <w:rFonts w:hint="eastAsia" w:ascii="宋体" w:hAnsi="宋体"/>
          <w:b/>
          <w:color w:val="000000"/>
          <w:sz w:val="24"/>
          <w:szCs w:val="21"/>
        </w:rPr>
      </w:pPr>
      <w:r>
        <w:rPr>
          <w:rFonts w:hint="eastAsia" w:ascii="宋体" w:hAnsi="宋体"/>
          <w:b/>
          <w:color w:val="000000"/>
          <w:sz w:val="24"/>
          <w:szCs w:val="21"/>
        </w:rPr>
        <w:br w:type="page" w:clear="all"/>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spacing w:before="260" w:after="260" w:line="416" w:lineRule="auto"/>
        <w:rPr>
          <w:rFonts w:hint="eastAsia" w:ascii="宋体" w:hAnsi="宋体"/>
          <w:b/>
          <w:color w:val="000000"/>
          <w:sz w:val="24"/>
          <w:szCs w:val="21"/>
        </w:rPr>
        <w:outlineLvl w:val="1"/>
      </w:pPr>
      <w:r>
        <w:rPr>
          <w:rFonts w:hint="eastAsia" w:ascii="宋体" w:hAnsi="宋体"/>
          <w:b/>
          <w:color w:val="000000"/>
          <w:sz w:val="24"/>
          <w:szCs w:val="21"/>
        </w:rPr>
      </w:r>
      <w:r/>
    </w:p>
    <w:p>
      <w:pPr>
        <w:keepLines/>
        <w:keepNext/>
        <w:spacing w:before="260" w:after="260" w:line="416" w:lineRule="auto"/>
        <w:rPr>
          <w:rFonts w:hint="eastAsia" w:ascii="宋体" w:hAnsi="宋体"/>
          <w:b/>
          <w:color w:val="000000"/>
          <w:sz w:val="24"/>
          <w:szCs w:val="21"/>
        </w:rPr>
        <w:outlineLvl w:val="1"/>
      </w:pPr>
      <w:r>
        <w:rPr>
          <w:rFonts w:hint="eastAsia" w:ascii="宋体" w:hAnsi="宋体"/>
          <w:b/>
          <w:color w:val="000000"/>
          <w:sz w:val="24"/>
          <w:szCs w:val="21"/>
        </w:rPr>
      </w:r>
      <w:r/>
    </w:p>
    <w:p>
      <w:pP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扬州市公共资源交易中心仪征分中心：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1089"/>
        <w:rPr>
          <w:rFonts w:ascii="宋体" w:hAnsi="宋体"/>
          <w:b/>
          <w:color w:val="000000"/>
          <w:sz w:val="24"/>
          <w:szCs w:val="21"/>
        </w:rPr>
      </w:pPr>
      <w:r>
        <w:rPr>
          <w:rFonts w:ascii="宋体" w:hAnsi="宋体"/>
          <w:b/>
          <w:color w:val="000000"/>
          <w:sz w:val="24"/>
          <w:szCs w:val="21"/>
        </w:rPr>
      </w:r>
      <w:r/>
    </w:p>
    <w:p>
      <w:pPr>
        <w:pStyle w:val="1089"/>
        <w:rPr>
          <w:rFonts w:ascii="宋体" w:hAnsi="宋体"/>
          <w:b/>
          <w:color w:val="000000"/>
          <w:sz w:val="24"/>
          <w:szCs w:val="21"/>
        </w:rPr>
      </w:pPr>
      <w:r>
        <w:rPr>
          <w:rFonts w:ascii="宋体" w:hAnsi="宋体"/>
          <w:b/>
          <w:color w:val="000000"/>
          <w:sz w:val="24"/>
          <w:szCs w:val="21"/>
        </w:rPr>
      </w:r>
      <w:r/>
    </w:p>
    <w:p>
      <w:pPr>
        <w:pStyle w:val="1089"/>
        <w:rPr>
          <w:rFonts w:ascii="宋体" w:hAnsi="宋体"/>
          <w:b/>
          <w:color w:val="000000"/>
          <w:sz w:val="24"/>
          <w:szCs w:val="21"/>
        </w:rPr>
      </w:pPr>
      <w:r>
        <w:rPr>
          <w:rFonts w:ascii="宋体" w:hAnsi="宋体"/>
          <w:b/>
          <w:color w:val="000000"/>
          <w:sz w:val="24"/>
          <w:szCs w:val="21"/>
        </w:rPr>
      </w:r>
      <w:r/>
    </w:p>
    <w:p>
      <w:pPr>
        <w:pStyle w:val="1089"/>
        <w:rPr>
          <w:rFonts w:ascii="宋体" w:hAnsi="宋体"/>
          <w:b/>
          <w:color w:val="000000"/>
          <w:sz w:val="24"/>
          <w:szCs w:val="21"/>
        </w:rPr>
      </w:pPr>
      <w:r>
        <w:rPr>
          <w:rFonts w:ascii="宋体" w:hAnsi="宋体"/>
          <w:b/>
          <w:color w:val="000000"/>
          <w:sz w:val="24"/>
          <w:szCs w:val="21"/>
        </w:rPr>
      </w:r>
      <w:r/>
    </w:p>
    <w:p>
      <w:pPr>
        <w:pStyle w:val="1089"/>
        <w:rPr>
          <w:rFonts w:ascii="宋体" w:hAnsi="宋体"/>
          <w:b/>
          <w:color w:val="000000"/>
          <w:sz w:val="24"/>
          <w:szCs w:val="21"/>
        </w:rPr>
      </w:pPr>
      <w:r>
        <w:rPr>
          <w:rFonts w:ascii="宋体" w:hAnsi="宋体"/>
          <w:b/>
          <w:color w:val="000000"/>
          <w:sz w:val="24"/>
          <w:szCs w:val="21"/>
        </w:rPr>
      </w:r>
      <w:r/>
    </w:p>
    <w:p>
      <w:pPr>
        <w:pStyle w:val="1089"/>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1089"/>
        <w:ind w:left="0" w:firstLine="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auto"/>
          <w:sz w:val="24"/>
          <w:szCs w:val="24"/>
        </w:rPr>
        <w:t xml:space="preserve">主要标的信息（中标后将公示）</w:t>
      </w:r>
      <w:r/>
    </w:p>
    <w:p>
      <w:pPr>
        <w:spacing w:after="312" w:line="360" w:lineRule="auto"/>
        <w:rPr>
          <w:rFonts w:hint="eastAsia" w:ascii="宋体" w:hAnsi="宋体" w:eastAsia="宋体" w:cs="宋体"/>
          <w:b/>
          <w:sz w:val="24"/>
          <w:szCs w:val="24"/>
        </w:rPr>
      </w:pPr>
      <w:r>
        <w:rPr>
          <w:rFonts w:hint="eastAsia" w:ascii="宋体" w:hAnsi="宋体" w:eastAsia="宋体" w:cs="宋体"/>
          <w:sz w:val="24"/>
          <w:szCs w:val="24"/>
        </w:rPr>
        <w:t xml:space="preserve">投标人全称：</w:t>
      </w:r>
      <w:r/>
    </w:p>
    <w:tbl>
      <w:tblPr>
        <w:tblStyle w:val="1069"/>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1089"/>
        <w:rPr>
          <w:rFonts w:ascii="宋体" w:hAnsi="宋体"/>
          <w:b/>
          <w:color w:val="000000"/>
          <w:sz w:val="24"/>
          <w:szCs w:val="21"/>
        </w:rPr>
      </w:pPr>
      <w:r>
        <w:rPr>
          <w:rFonts w:ascii="宋体" w:hAnsi="宋体"/>
          <w:b/>
          <w:color w:val="000000"/>
          <w:sz w:val="24"/>
          <w:szCs w:val="21"/>
        </w:rPr>
      </w:r>
      <w:r/>
    </w:p>
    <w:p>
      <w:pPr>
        <w:pStyle w:val="1089"/>
        <w:rPr>
          <w:rFonts w:hint="eastAsia" w:ascii="宋体" w:hAnsi="宋体"/>
          <w:b/>
          <w:color w:val="000000"/>
          <w:sz w:val="24"/>
          <w:szCs w:val="21"/>
        </w:rPr>
      </w:pPr>
      <w:r>
        <w:rPr>
          <w:rFonts w:hint="eastAsia" w:ascii="宋体" w:hAnsi="宋体"/>
          <w:b/>
          <w:color w:val="000000"/>
          <w:sz w:val="24"/>
          <w:szCs w:val="21"/>
        </w:rPr>
      </w:r>
      <w:r/>
    </w:p>
    <w:p>
      <w:pPr>
        <w:pStyle w:val="1089"/>
        <w:rPr>
          <w:rFonts w:hint="eastAsia" w:ascii="宋体" w:hAnsi="宋体"/>
          <w:b/>
          <w:color w:val="000000"/>
          <w:sz w:val="24"/>
          <w:szCs w:val="21"/>
        </w:rPr>
      </w:pPr>
      <w:r>
        <w:rPr>
          <w:rFonts w:hint="eastAsia" w:ascii="宋体" w:hAnsi="宋体"/>
          <w:b/>
          <w:color w:val="000000"/>
          <w:sz w:val="24"/>
          <w:szCs w:val="21"/>
        </w:rPr>
      </w:r>
      <w:r/>
    </w:p>
    <w:p>
      <w:pPr>
        <w:pStyle w:val="1089"/>
        <w:rPr>
          <w:rFonts w:hint="eastAsia" w:ascii="宋体" w:hAnsi="宋体"/>
          <w:b/>
          <w:color w:val="000000"/>
          <w:sz w:val="24"/>
          <w:szCs w:val="21"/>
        </w:rPr>
      </w:pPr>
      <w:r>
        <w:rPr>
          <w:rFonts w:hint="eastAsia" w:ascii="宋体" w:hAnsi="宋体"/>
          <w:b/>
          <w:color w:val="000000"/>
          <w:sz w:val="24"/>
          <w:szCs w:val="21"/>
        </w:rPr>
      </w:r>
      <w:r/>
    </w:p>
    <w:p>
      <w:pPr>
        <w:pStyle w:val="1089"/>
        <w:ind w:left="0" w:firstLine="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p>
    <w:p>
      <w:pPr>
        <w:ind w:firstLine="1205"/>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1205"/>
        <w:rPr>
          <w:rFonts w:hint="eastAsia" w:ascii="宋体" w:hAnsi="宋体"/>
          <w:b/>
          <w:color w:val="000000"/>
          <w:sz w:val="24"/>
          <w:szCs w:val="21"/>
        </w:rPr>
      </w:pPr>
      <w:r>
        <w:rPr>
          <w:rFonts w:hint="eastAsia" w:ascii="宋体" w:hAnsi="宋体"/>
          <w:b/>
          <w:color w:val="000000"/>
          <w:sz w:val="24"/>
          <w:szCs w:val="21"/>
        </w:rPr>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1089"/>
        <w:ind w:left="0"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p>
    <w:p>
      <w:pPr>
        <w:spacing w:line="460" w:lineRule="exact"/>
        <w:rPr>
          <w:rFonts w:ascii="宋体" w:hAnsi="宋体"/>
          <w:b/>
          <w:color w:val="000000"/>
          <w:sz w:val="24"/>
          <w:szCs w:val="21"/>
        </w:rPr>
      </w:pP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jc w:val="center"/>
        <w:spacing w:line="560" w:lineRule="exact"/>
        <w:rPr>
          <w:rFonts w:hint="eastAsia" w:ascii="宋体" w:hAnsi="宋体" w:cs="宋体"/>
          <w:sz w:val="24"/>
          <w:szCs w:val="24"/>
        </w:rPr>
      </w:pPr>
      <w:r>
        <w:rPr>
          <w:rFonts w:hint="eastAsia" w:ascii="宋体" w:hAnsi="宋体" w:cs="宋体"/>
          <w:sz w:val="24"/>
          <w:szCs w:val="24"/>
        </w:rPr>
      </w:r>
      <w:r/>
    </w:p>
    <w:p>
      <w:pPr>
        <w:pStyle w:val="1087"/>
        <w:ind w:left="0" w:right="0"/>
        <w:jc w:val="both"/>
        <w:keepLines w:val="0"/>
        <w:keepNext w:val="0"/>
        <w:pageBreakBefore w:val="0"/>
        <w:spacing w:before="0" w:beforeAutospacing="0" w:after="361"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eastAsia="宋体" w:cs="宋体"/>
          <w:b/>
          <w:bCs/>
          <w:color w:val="000000"/>
          <w:sz w:val="24"/>
          <w:szCs w:val="24"/>
        </w:rPr>
        <w:t xml:space="preserve">中小企业声明函（服务类项目）（采购包号：**）</w:t>
      </w:r>
      <w:r/>
    </w:p>
    <w:p>
      <w:pPr>
        <w:pStyle w:val="1087"/>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lang w:eastAsia="zh-CN"/>
        </w:rPr>
        <w:t xml:space="preserve">扬州市公共资源交易中心</w:t>
      </w:r>
      <w:r>
        <w:rPr>
          <w:rFonts w:hint="eastAsia" w:ascii="宋体" w:hAnsi="宋体" w:cs="宋体"/>
          <w:color w:val="000000"/>
          <w:sz w:val="24"/>
          <w:szCs w:val="24"/>
          <w:lang w:val="en-US" w:eastAsia="zh-CN"/>
        </w:rPr>
        <w:t xml:space="preserve">仪征分中心</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（项目名称）（采购包号：**）</w:t>
      </w:r>
      <w:r>
        <w:rPr>
          <w:rFonts w:hint="eastAsia" w:ascii="宋体" w:hAnsi="宋体" w:eastAsia="宋体" w:cs="宋体"/>
          <w:color w:val="000000"/>
          <w:sz w:val="24"/>
          <w:szCs w:val="24"/>
        </w:rPr>
        <w:t xml:space="preserve">的采购活动，服务全部由符合政策的中小企业承接。相关企业（含联合体中的中小企业、签订采购包意向协议的中小企业）的具体情况如下：</w:t>
      </w:r>
      <w:r/>
    </w:p>
    <w:p>
      <w:pPr>
        <w:pStyle w:val="1087"/>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w:t>
      </w:r>
      <w:r>
        <w:rPr>
          <w:rFonts w:hint="eastAsia" w:ascii="宋体" w:hAnsi="宋体" w:cs="宋体"/>
          <w:color w:val="000000"/>
          <w:sz w:val="24"/>
          <w:szCs w:val="24"/>
          <w:u w:val="single"/>
          <w:lang w:val="en-US" w:eastAsia="zh-CN"/>
        </w:rPr>
        <w:t xml:space="preserve">包一至包四</w:t>
      </w:r>
      <w:r>
        <w:rPr>
          <w:rFonts w:hint="eastAsia" w:ascii="宋体" w:hAnsi="宋体" w:eastAsia="宋体" w:cs="宋体"/>
          <w:color w:val="000000"/>
          <w:sz w:val="24"/>
          <w:szCs w:val="24"/>
          <w:u w:val="single"/>
        </w:rPr>
        <w:t xml:space="preserve">）</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w:t>
      </w:r>
      <w:r>
        <w:rPr>
          <w:rFonts w:hint="eastAsia" w:ascii="宋体" w:hAnsi="宋体" w:cs="宋体"/>
          <w:color w:val="ff0000"/>
          <w:sz w:val="24"/>
          <w:szCs w:val="24"/>
          <w:u w:val="single"/>
          <w:lang w:val="en-US" w:eastAsia="zh-CN"/>
        </w:rPr>
        <w:t xml:space="preserve">信息传输业</w:t>
      </w:r>
      <w:r>
        <w:rPr>
          <w:rFonts w:hint="eastAsia" w:ascii="宋体" w:hAnsi="宋体" w:eastAsia="宋体" w:cs="宋体"/>
          <w:color w:val="ff0000"/>
          <w:sz w:val="24"/>
          <w:szCs w:val="24"/>
          <w:u w:val="single"/>
        </w:rPr>
        <w:t xml:space="preserve">）</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087"/>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087"/>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1087"/>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087"/>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1087"/>
        <w:ind w:right="72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87"/>
        <w:ind w:left="0" w:right="180" w:firstLine="360"/>
        <w:jc w:val="right"/>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1087"/>
        <w:ind w:left="0" w:right="480" w:firstLine="540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1087"/>
        <w:ind w:left="0" w:firstLine="24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87"/>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1087"/>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1087"/>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1087"/>
        <w:ind w:left="540" w:hanging="120"/>
        <w:jc w:val="both"/>
        <w:keepLines w:val="0"/>
        <w:keepNext w:val="0"/>
        <w:pageBreakBefore w:val="0"/>
        <w:spacing w:before="0" w:beforeAutospacing="0" w:after="0" w:afterAutospacing="0" w:line="400" w:lineRule="atLeast"/>
        <w:widowControl w:val="off"/>
        <w:rPr>
          <w:rFonts w:hint="eastAsia" w:ascii="宋体" w:hAnsi="宋体" w:eastAsia="宋体" w:cs="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3.供应商应对照《工业和信息化部、国家统计局、国家发展和改革委员会、财政</w:t>
      </w:r>
      <w:r/>
    </w:p>
    <w:p>
      <w:pPr>
        <w:pStyle w:val="1087"/>
        <w:jc w:val="both"/>
        <w:keepLines w:val="0"/>
        <w:keepNext w:val="0"/>
        <w:pageBreakBefore w:val="0"/>
        <w:spacing w:before="0" w:beforeAutospacing="0" w:after="0" w:afterAutospacing="0" w:line="400" w:lineRule="atLeast"/>
        <w:widowControl w:val="off"/>
        <w:rPr>
          <w:rFonts w:ascii="宋体" w:hAnsi="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center"/>
        <w:keepLines/>
        <w:keepNext/>
        <w:spacing w:before="300" w:after="300" w:line="360" w:lineRule="auto"/>
        <w:widowControl/>
        <w:rPr>
          <w:rFonts w:ascii="Arial" w:hAnsi="Arial" w:eastAsia="幼圆" w:cs="Arial"/>
          <w:b/>
          <w:bCs/>
        </w:rPr>
        <w:outlineLvl w:val="1"/>
      </w:pPr>
      <w:r>
        <w:rPr>
          <w:rFonts w:hint="eastAsia" w:ascii="Arial" w:hAnsi="Arial" w:eastAsia="幼圆" w:cs="微软雅黑"/>
          <w:b/>
          <w:bCs/>
        </w:rPr>
        <w:t xml:space="preserve">中小微企业划型标准</w:t>
      </w:r>
      <w:r/>
    </w:p>
    <w:tbl>
      <w:tblPr>
        <w:tblStyle w:val="1069"/>
        <w:tblW w:w="9700" w:type="dxa"/>
        <w:tblCellSpacing w:w="15" w:type="dxa"/>
        <w:tblInd w:w="-191"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1"/>
        <w:gridCol w:w="1699"/>
        <w:gridCol w:w="1061"/>
        <w:gridCol w:w="1887"/>
        <w:gridCol w:w="2411"/>
        <w:gridCol w:w="1201"/>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396"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ind w:firstLine="420"/>
              <w:spacing w:after="150" w:line="360" w:lineRule="auto"/>
              <w:rPr>
                <w:color w:val="666666"/>
                <w:sz w:val="21"/>
                <w:szCs w:val="21"/>
              </w:rPr>
            </w:pPr>
            <w:r>
              <w:rPr>
                <w:rStyle w:val="1091"/>
                <w:rFonts w:hint="eastAsia" w:cs="仿宋"/>
                <w:color w:val="666666"/>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X＜5</w:t>
            </w:r>
            <w:r/>
          </w:p>
        </w:tc>
      </w:tr>
      <w:tr>
        <w:trPr>
          <w:tblCellSpacing w:w="15" w:type="dxa"/>
          <w:trHeight w:val="571"/>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Y＜100</w:t>
            </w:r>
            <w:r/>
          </w:p>
        </w:tc>
      </w:tr>
      <w:tr>
        <w:trPr>
          <w:tblCellSpacing w:w="15" w:type="dxa"/>
          <w:trHeight w:val="64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87"/>
              <w:spacing w:after="150" w:line="360" w:lineRule="auto"/>
              <w:rPr>
                <w:color w:val="666666"/>
                <w:sz w:val="21"/>
                <w:szCs w:val="21"/>
              </w:rPr>
            </w:pPr>
            <w:r>
              <w:rPr>
                <w:rStyle w:val="1091"/>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87"/>
              <w:jc w:val="center"/>
              <w:spacing w:after="150" w:line="360" w:lineRule="auto"/>
              <w:rPr>
                <w:color w:val="666666"/>
                <w:sz w:val="21"/>
                <w:szCs w:val="21"/>
              </w:rPr>
            </w:pPr>
            <w:r>
              <w:rPr>
                <w:rStyle w:val="1091"/>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87"/>
              <w:jc w:val="center"/>
              <w:spacing w:after="150" w:line="360" w:lineRule="auto"/>
              <w:rPr>
                <w:rStyle w:val="1091"/>
                <w:rFonts w:cs="仿宋"/>
                <w:color w:val="666666"/>
                <w:sz w:val="21"/>
                <w:szCs w:val="21"/>
              </w:rPr>
            </w:pPr>
            <w:r>
              <w:rPr>
                <w:rStyle w:val="1091"/>
                <w:rFonts w:hint="eastAsia" w:cs="仿宋"/>
                <w:color w:val="666666"/>
                <w:sz w:val="21"/>
                <w:szCs w:val="21"/>
              </w:rPr>
              <w:t xml:space="preserve">X＜10</w:t>
            </w:r>
            <w:r/>
          </w:p>
        </w:tc>
      </w:tr>
    </w:tbl>
    <w:p>
      <w:pPr>
        <w:ind w:firstLine="810"/>
        <w:jc w:val="left"/>
        <w:pageBreakBefore w:val="0"/>
        <w:spacing w:before="300" w:after="452" w:line="400" w:lineRule="atLeast"/>
        <w:widowControl/>
        <w:rPr>
          <w:rFonts w:ascii="宋体" w:hAnsi="宋体"/>
          <w:color w:val="666666"/>
          <w:highlight w:val="none"/>
        </w:rPr>
      </w:pPr>
      <w:r>
        <w:rPr>
          <w:rFonts w:hint="eastAsia" w:ascii="宋体" w:hAnsi="宋体" w:eastAsia="等线" w:cs="仿宋"/>
          <w:b/>
          <w:color w:val="666666"/>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服务</w:t>
      </w:r>
      <w:r>
        <w:rPr>
          <w:rFonts w:hint="eastAsia" w:ascii="宋体" w:hAnsi="宋体"/>
          <w:b/>
          <w:sz w:val="24"/>
          <w:szCs w:val="24"/>
        </w:rPr>
        <w:t xml:space="preserve">类项目）（采购包号：**）</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141号）的规定，本单位为符合条件的残疾人福利性单位，且本单位参加______单位的采购文件编号为JSZC-320081-****的     项目（采购包号：**）采购活动由本单位提供服务。</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备注：</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2.非专门面向中小微型企业采购的项目，供应商如不提供此声明函，价格将不做相应扣除。</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3.中标/成交供应商为残疾人福利性单位的，此声明函将随中标/成交结果同时公告，接受社会监督</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供应商全称（加盖CA电子公章）：</w:t>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13</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sz w:val="24"/>
          <w:szCs w:val="24"/>
        </w:rPr>
        <w:t xml:space="preserve">联合体协议（参考格式）（采购包号：**）</w:t>
      </w:r>
      <w:r/>
    </w:p>
    <w:p>
      <w:pPr>
        <w:pageBreakBefore w:val="0"/>
        <w:spacing w:line="400" w:lineRule="exact"/>
        <w:widowControl w:val="off"/>
        <w:rPr>
          <w:rFonts w:hint="eastAsia" w:ascii="宋体" w:hAnsi="宋体"/>
          <w:b/>
          <w:sz w:val="24"/>
          <w:szCs w:val="24"/>
        </w:rPr>
      </w:pPr>
      <w:r>
        <w:rPr>
          <w:rFonts w:hint="eastAsia" w:ascii="宋体" w:hAnsi="宋体"/>
          <w:b/>
          <w:sz w:val="24"/>
          <w:szCs w:val="24"/>
        </w:rPr>
      </w:r>
      <w:r/>
    </w:p>
    <w:p>
      <w:pPr>
        <w:keepLines w:val="0"/>
        <w:keepNext w:val="0"/>
        <w:pageBreakBefore w:val="0"/>
        <w:spacing w:line="400" w:lineRule="atLeast"/>
        <w:widowControl w:val="off"/>
        <w:rPr>
          <w:rFonts w:ascii="宋体" w:hAnsi="宋体"/>
          <w:sz w:val="24"/>
          <w:szCs w:val="21"/>
        </w:rPr>
      </w:pPr>
      <w:r>
        <w:rPr>
          <w:rFonts w:hint="eastAsia" w:ascii="宋体" w:hAnsi="宋体"/>
          <w:sz w:val="24"/>
          <w:szCs w:val="21"/>
        </w:rPr>
        <w:t xml:space="preserve">（联合体中各供应商全称）在此达成以下协议：</w:t>
      </w:r>
      <w:r/>
    </w:p>
    <w:p>
      <w:pPr>
        <w:ind w:firstLine="645"/>
        <w:keepLines w:val="0"/>
        <w:keepNext w:val="0"/>
        <w:pageBreakBefore w:val="0"/>
        <w:spacing w:line="400" w:lineRule="atLeast"/>
        <w:widowControl w:val="off"/>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1"/>
          <w:lang w:val="en-US" w:eastAsia="zh-CN"/>
        </w:rPr>
        <w:t xml:space="preserve">扬州市公共资源交易中心仪征分中心</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keepLines w:val="0"/>
        <w:keepNext w:val="0"/>
        <w:pageBreakBefore w:val="0"/>
        <w:spacing w:line="400" w:lineRule="atLeast"/>
        <w:widowControl w:val="off"/>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keepLines w:val="0"/>
        <w:keepNext w:val="0"/>
        <w:pageBreakBefore w:val="0"/>
        <w:spacing w:line="400" w:lineRule="atLeast"/>
        <w:widowControl w:val="off"/>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keepLines w:val="0"/>
        <w:keepNext w:val="0"/>
        <w:pageBreakBefore w:val="0"/>
        <w:spacing w:line="400" w:lineRule="atLeast"/>
        <w:widowControl w:val="off"/>
        <w:rPr>
          <w:rFonts w:hint="eastAsia" w:ascii="宋体" w:hAnsi="宋体"/>
          <w:sz w:val="24"/>
          <w:szCs w:val="21"/>
        </w:rPr>
      </w:pPr>
      <w:r>
        <w:rPr>
          <w:rFonts w:hint="eastAsia" w:ascii="宋体" w:hAnsi="宋体"/>
          <w:sz w:val="24"/>
          <w:szCs w:val="21"/>
        </w:rPr>
      </w:r>
      <w:r/>
    </w:p>
    <w:p>
      <w:pPr>
        <w:ind w:firstLine="645"/>
        <w:keepLines w:val="0"/>
        <w:keepNext w:val="0"/>
        <w:pageBreakBefore w:val="0"/>
        <w:spacing w:line="400" w:lineRule="atLeast"/>
        <w:widowControl w:val="off"/>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keepLines w:val="0"/>
        <w:keepNext w:val="0"/>
        <w:pageBreakBefore w:val="0"/>
        <w:spacing w:line="400" w:lineRule="atLeast"/>
        <w:widowControl w:val="off"/>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keepLines w:val="0"/>
        <w:keepNext w:val="0"/>
        <w:pageBreakBefore w:val="0"/>
        <w:spacing w:line="400" w:lineRule="atLeast"/>
        <w:widowControl w:val="off"/>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keepLines w:val="0"/>
        <w:keepNext w:val="0"/>
        <w:pageBreakBefore w:val="0"/>
        <w:spacing w:after="361"/>
        <w:widowControl w:val="off"/>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Style w:val="10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89"/>
      <w:r/>
      <w:bookmarkEnd w:id="190"/>
      <w:r/>
      <w:bookmarkEnd w:id="196"/>
      <w:r/>
      <w:bookmarkEnd w:id="197"/>
      <w:r/>
      <w:bookmarkEnd w:id="198"/>
      <w:r/>
      <w:r/>
    </w:p>
    <w:p>
      <w:pPr>
        <w:pStyle w:val="1245"/>
        <w:ind w:left="0" w:firstLine="0"/>
        <w:rPr>
          <w:color w:val="000000"/>
          <w:sz w:val="24"/>
          <w:szCs w:val="24"/>
        </w:rPr>
      </w:pPr>
      <w:r>
        <w:rPr>
          <w:color w:val="000000"/>
          <w:sz w:val="24"/>
          <w:szCs w:val="24"/>
        </w:rPr>
      </w:r>
      <w:r/>
    </w:p>
    <w:sectPr>
      <w:footerReference w:type="default" r:id="rId17"/>
      <w:footerReference w:type="first" r:id="rId18"/>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39542" cy="153339"/>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1" flipV="0">
                        <a:off x="0" y="0"/>
                        <a:ext cx="139542" cy="153339"/>
                      </a:xfrm>
                      <a:prstGeom prst="rect">
                        <a:avLst/>
                      </a:prstGeom>
                      <a:noFill/>
                      <a:ln>
                        <a:noFill/>
                      </a:ln>
                    </wps:spPr>
                    <wps:txbx>
                      <w:txbxContent>
                        <w:p>
                          <w:pPr>
                            <w:pStyle w:val="1078"/>
                          </w:pPr>
                          <w:r>
                            <w:fldChar w:fldCharType="begin"/>
                          </w:r>
                          <w:r>
                            <w:instrText xml:space="preserve"> PAGE  \* MERGEFORMAT </w:instrText>
                          </w:r>
                          <w:r>
                            <w:fldChar w:fldCharType="separate"/>
                          </w:r>
                          <w:r>
                            <w:t xml:space="preserve">2</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1.0pt;height:12.1pt;mso-wrap-distance-left:9.0pt;mso-wrap-distance-top:0.0pt;mso-wrap-distance-right:9.0pt;mso-wrap-distance-bottom:0.0pt;flip:x;visibility:visible;" filled="f" stroked="f">
              <v:textbox inset="0,0,0,0">
                <w:txbxContent>
                  <w:p>
                    <w:pPr>
                      <w:pStyle w:val="1078"/>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rPr>
        <w:rStyle w:val="1314"/>
      </w:rPr>
      <w:framePr w:wrap="around" w:vAnchor="text" w:hAnchor="margin" w:xAlign="center" w:y="1"/>
    </w:pPr>
    <w:r>
      <w:fldChar w:fldCharType="begin"/>
    </w:r>
    <w:r>
      <w:rPr>
        <w:rStyle w:val="1314"/>
      </w:rPr>
      <w:instrText xml:space="preserve">PAGE  </w:instrText>
    </w:r>
    <w:r>
      <w:fldChar w:fldCharType="separate"/>
    </w:r>
    <w:r>
      <w:rPr>
        <w:rStyle w:val="1314"/>
      </w:rPr>
      <w:t xml:space="preserve">1</w:t>
    </w:r>
    <w:r>
      <w:fldChar w:fldCharType="end"/>
    </w:r>
    <w:r/>
  </w:p>
  <w:p>
    <w:pPr>
      <w:pStyle w:val="12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8"/>
                          </w:pPr>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jc w:val="center"/>
      <w:rPr>
        <w:rFonts w:hint="default"/>
        <w:b/>
        <w:i/>
        <w:lang w:val="en-US"/>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b/>
        <w:i/>
        <w:sz w:val="20"/>
        <w:lang w:val="en-US" w:eastAsia="zh-CN"/>
      </w:rPr>
      <w:t xml:space="preserve">34</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jc w:val="both"/>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33386" cy="153339"/>
              <wp:effectExtent l="6350" t="6350" r="6350" b="6350"/>
              <wp:wrapNone/>
              <wp:docPr id="5" name=""/>
              <wp:cNvGraphicFramePr/>
              <a:graphic xmlns:a="http://schemas.openxmlformats.org/drawingml/2006/main">
                <a:graphicData uri="http://schemas.microsoft.com/office/word/2010/wordprocessingShape">
                  <wps:wsp>
                    <wps:cNvPr id="0" name=""/>
                    <wps:cNvSpPr txBox="1"/>
                    <wps:spPr bwMode="auto">
                      <a:xfrm flipH="0" flipV="0">
                        <a:off x="0" y="0"/>
                        <a:ext cx="133385" cy="153339"/>
                      </a:xfrm>
                      <a:prstGeom prst="rect">
                        <a:avLst/>
                      </a:prstGeom>
                      <a:noFill/>
                      <a:ln>
                        <a:noFill/>
                      </a:ln>
                    </wps:spPr>
                    <wps:txbx>
                      <w:txbxContent>
                        <w:p>
                          <w:pPr>
                            <w:pStyle w:val="1078"/>
                          </w:pPr>
                          <w:r>
                            <w:fldChar w:fldCharType="begin"/>
                          </w:r>
                          <w:r>
                            <w:instrText xml:space="preserve"> PAGE  \* MERGEFORMAT </w:instrText>
                          </w:r>
                          <w:r>
                            <w:fldChar w:fldCharType="separate"/>
                          </w:r>
                          <w:r>
                            <w:t xml:space="preserve">33</w:t>
                          </w:r>
                          <w:r>
                            <w:fldChar w:fldCharType="end"/>
                          </w:r>
                          <w:r/>
                        </w:p>
                      </w:txbxContent>
                    </wps:txbx>
                    <wps:bodyPr wrap="square" lIns="0" tIns="0" rIns="0" bIns="0" upright="1">
                      <a:noAutofit/>
                    </wps:bodyPr>
                  </wps:wsp>
                </a:graphicData>
              </a:graphic>
            </wp:anchor>
          </w:drawing>
        </mc:Choice>
        <mc:Fallback>
          <w:pict>
            <v:shape id="shape 4" o:spid="_x0000_s4" o:spt="202" type="#_x0000_t202" style="position:absolute;z-index:251669504;o:allowoverlap:true;o:allowincell:true;mso-position-horizontal-relative:margin;mso-position-horizontal:center;mso-position-vertical-relative:text;margin-top:0.0pt;mso-position-vertical:absolute;width:10.5pt;height:12.1pt;mso-wrap-distance-left:9.0pt;mso-wrap-distance-top:0.0pt;mso-wrap-distance-right:9.0pt;mso-wrap-distance-bottom:0.0pt;visibility:visible;" filled="f" stroked="f">
              <v:textbox inset="0,0,0,0">
                <w:txbxContent>
                  <w:p>
                    <w:pPr>
                      <w:pStyle w:val="1078"/>
                    </w:pPr>
                    <w:r>
                      <w:fldChar w:fldCharType="begin"/>
                    </w:r>
                    <w:r>
                      <w:instrText xml:space="preserve"> PAGE  \* MERGEFORMAT </w:instrText>
                    </w:r>
                    <w:r>
                      <w:fldChar w:fldCharType="separate"/>
                    </w:r>
                    <w:r>
                      <w:t xml:space="preserve">33</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8"/>
                          </w:pPr>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8"/>
                    </w:pPr>
                    <w:r/>
                    <w:r/>
                  </w:p>
                </w:txbxContent>
              </v:textbox>
            </v:shape>
          </w:pict>
        </mc:Fallback>
      </mc:AlternateContent>
    </w:r>
    <w:r/>
  </w:p>
  <w:p>
    <w:pPr>
      <w:pStyle w:val="128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jc w:val="center"/>
      <w:rPr>
        <w:rFonts w:hint="default"/>
        <w:b/>
        <w:i/>
        <w:lang w:val="en-US"/>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b/>
        <w:i/>
        <w:sz w:val="20"/>
        <w:lang w:val="en-US" w:eastAsia="zh-CN"/>
      </w:rPr>
      <w:t xml:space="preserve">34</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pPr>
    <w:r>
      <w:rPr>
        <w:sz w:val="18"/>
      </w:rPr>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2900045</wp:posOffset>
              </wp:positionH>
              <wp:positionV relativeFrom="paragraph">
                <wp:posOffset>25400</wp:posOffset>
              </wp:positionV>
              <wp:extent cx="317500" cy="127635"/>
              <wp:effectExtent l="0" t="0" r="0" b="0"/>
              <wp:wrapNone/>
              <wp:docPr id="8" name=""/>
              <wp:cNvGraphicFramePr/>
              <a:graphic xmlns:a="http://schemas.openxmlformats.org/drawingml/2006/main">
                <a:graphicData uri="http://schemas.microsoft.com/office/word/2010/wordprocessingShape">
                  <wps:wsp>
                    <wps:cNvPr id="0" name=""/>
                    <wps:cNvSpPr txBox="1"/>
                    <wps:spPr bwMode="auto">
                      <a:xfrm flipH="1">
                        <a:off x="0" y="0"/>
                        <a:ext cx="317500" cy="127635"/>
                      </a:xfrm>
                      <a:prstGeom prst="rect">
                        <a:avLst/>
                      </a:prstGeom>
                      <a:noFill/>
                      <a:ln>
                        <a:noFill/>
                      </a:ln>
                    </wps:spPr>
                    <wps:txbx>
                      <w:txbxContent>
                        <w:p>
                          <w:pPr>
                            <w:pStyle w:val="1078"/>
                          </w:pPr>
                          <w:r/>
                          <w:r/>
                        </w:p>
                      </w:txbxContent>
                    </wps:txbx>
                    <wps:bodyPr wrap="square" lIns="0" tIns="0" rIns="0" bIns="0" upright="1"/>
                  </wps:wsp>
                </a:graphicData>
              </a:graphic>
            </wp:anchor>
          </w:drawing>
        </mc:Choice>
        <mc:Fallback>
          <w:pict>
            <v:shape id="shape 7" o:spid="_x0000_s7" o:spt="202" type="#_x0000_t202" style="position:absolute;z-index:251665408;o:allowoverlap:true;o:allowincell:true;mso-position-horizontal-relative:margin;margin-left:228.3pt;mso-position-horizontal:absolute;mso-position-vertical-relative:text;margin-top:2.0pt;mso-position-vertical:absolute;width:25.0pt;height:10.0pt;mso-wrap-distance-left:9.0pt;mso-wrap-distance-top:0.0pt;mso-wrap-distance-right:9.0pt;mso-wrap-distance-bottom:0.0pt;flip:x;visibility:visible;" filled="f" stroked="f">
              <v:textbox inset="0,0,0,0">
                <w:txbxContent>
                  <w:p>
                    <w:pPr>
                      <w:pStyle w:val="1078"/>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8"/>
                            <w:rPr>
                              <w:rFonts w:hint="default" w:eastAsia="宋体"/>
                              <w:lang w:val="en-US" w:eastAsia="zh-CN"/>
                            </w:rPr>
                          </w:pPr>
                          <w:r>
                            <w:rPr>
                              <w:rFonts w:hint="eastAsia"/>
                              <w:lang w:val="en-US" w:eastAsia="zh-CN"/>
                            </w:rPr>
                            <w:t xml:space="preserve">34</w:t>
                          </w:r>
                          <w:r/>
                        </w:p>
                      </w:txbxContent>
                    </wps:txbx>
                    <wps:bodyPr wrap="none" lIns="0" tIns="0" rIns="0" bIns="0" upright="1">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8"/>
                      <w:rPr>
                        <w:rFonts w:hint="default" w:eastAsia="宋体"/>
                        <w:lang w:val="en-US" w:eastAsia="zh-CN"/>
                      </w:rPr>
                    </w:pPr>
                    <w:r>
                      <w:rPr>
                        <w:rFonts w:hint="eastAsia"/>
                        <w:lang w:val="en-US" w:eastAsia="zh-CN"/>
                      </w:rPr>
                      <w:t xml:space="preserve">34</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jc w:val="both"/>
      <w:tabs>
        <w:tab w:val="clear" w:pos="4153" w:leader="none"/>
        <w:tab w:val="left" w:pos="7389" w:leader="none"/>
        <w:tab w:val="clear" w:pos="8306" w:leader="none"/>
      </w:tabs>
      <w:rPr>
        <w:rFonts w:hint="default"/>
        <w:b/>
        <w:i/>
        <w:lang w:val="en-US"/>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8"/>
                          </w:pPr>
                          <w:r>
                            <w:fldChar w:fldCharType="begin"/>
                          </w:r>
                          <w:r>
                            <w:instrText xml:space="preserve"> PAGE  \* MERGEFORMAT </w:instrText>
                          </w:r>
                          <w:r>
                            <w:fldChar w:fldCharType="separate"/>
                          </w:r>
                          <w:r>
                            <w:t xml:space="preserve">36</w:t>
                          </w:r>
                          <w:r>
                            <w:fldChar w:fldCharType="end"/>
                          </w:r>
                          <w:r/>
                        </w:p>
                      </w:txbxContent>
                    </wps:txbx>
                    <wps:bodyPr wrap="none" lIns="0" tIns="0" rIns="0" bIns="0" upright="1">
                      <a:spAutoFit/>
                    </wps:bodyPr>
                  </wps:wsp>
                </a:graphicData>
              </a:graphic>
            </wp:anchor>
          </w:drawing>
        </mc:Choice>
        <mc:Fallback>
          <w:pict>
            <v:shape id="shape 9" o:spid="_x0000_s9"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8"/>
                    </w:pPr>
                    <w:r>
                      <w:fldChar w:fldCharType="begin"/>
                    </w:r>
                    <w:r>
                      <w:instrText xml:space="preserve"> PAGE  \* MERGEFORMAT </w:instrText>
                    </w:r>
                    <w:r>
                      <w:fldChar w:fldCharType="separate"/>
                    </w:r>
                    <w:r>
                      <w:t xml:space="preserve">36</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2792431</wp:posOffset>
              </wp:positionH>
              <wp:positionV relativeFrom="paragraph">
                <wp:posOffset>33618</wp:posOffset>
              </wp:positionV>
              <wp:extent cx="395605" cy="153035"/>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395605" cy="153035"/>
                      </a:xfrm>
                      <a:prstGeom prst="rect">
                        <a:avLst/>
                      </a:prstGeom>
                      <a:noFill/>
                      <a:ln>
                        <a:noFill/>
                      </a:ln>
                    </wps:spPr>
                    <wps:txbx>
                      <w:txbxContent>
                        <w:p>
                          <w:pPr>
                            <w:pStyle w:val="1078"/>
                          </w:pPr>
                          <w:r/>
                          <w:r/>
                        </w:p>
                      </w:txbxContent>
                    </wps:txbx>
                    <wps:bodyPr wrap="square" lIns="0" tIns="0" rIns="0" bIns="0" upright="1"/>
                  </wps:wsp>
                </a:graphicData>
              </a:graphic>
            </wp:anchor>
          </w:drawing>
        </mc:Choice>
        <mc:Fallback>
          <w:pict>
            <v:shape id="shape 10" o:spid="_x0000_s10" o:spt="202" type="#_x0000_t202" style="position:absolute;z-index:251662336;o:allowoverlap:true;o:allowincell:true;mso-position-horizontal-relative:margin;margin-left:219.9pt;mso-position-horizontal:absolute;mso-position-vertical-relative:text;margin-top:2.6pt;mso-position-vertical:absolute;width:31.1pt;height:12.0pt;mso-wrap-distance-left:9.0pt;mso-wrap-distance-top:0.0pt;mso-wrap-distance-right:9.0pt;mso-wrap-distance-bottom:0.0pt;visibility:visible;" filled="f" stroked="f">
              <v:textbox inset="0,0,0,0">
                <w:txbxContent>
                  <w:p>
                    <w:pPr>
                      <w:pStyle w:val="1078"/>
                    </w:pPr>
                    <w:r/>
                    <w:r/>
                  </w:p>
                </w:txbxContent>
              </v:textbox>
            </v:shape>
          </w:pict>
        </mc:Fallback>
      </mc:AlternateContent>
    </w:r>
    <w:r>
      <w:tab/>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8"/>
                          </w:pPr>
                          <w:r>
                            <w:fldChar w:fldCharType="begin"/>
                          </w:r>
                          <w:r>
                            <w:instrText xml:space="preserve"> PAGE  \* MERGEFORMAT </w:instrText>
                          </w:r>
                          <w:r>
                            <w:fldChar w:fldCharType="separate"/>
                          </w:r>
                          <w:r>
                            <w:t xml:space="preserve">35</w:t>
                          </w:r>
                          <w:r>
                            <w:fldChar w:fldCharType="end"/>
                          </w:r>
                          <w:r/>
                        </w:p>
                      </w:txbxContent>
                    </wps:txbx>
                    <wps:bodyPr wrap="none" lIns="0" tIns="0" rIns="0" bIns="0" upright="1">
                      <a:spAutoFit/>
                    </wps:bodyPr>
                  </wps:wsp>
                </a:graphicData>
              </a:graphic>
            </wp:anchor>
          </w:drawing>
        </mc:Choice>
        <mc:Fallback>
          <w:pict>
            <v:shape id="shape 11" o:spid="_x0000_s11"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8"/>
                    </w:pPr>
                    <w:r>
                      <w:fldChar w:fldCharType="begin"/>
                    </w:r>
                    <w:r>
                      <w:instrText xml:space="preserve"> PAGE  \* MERGEFORMAT </w:instrText>
                    </w:r>
                    <w:r>
                      <w:fldChar w:fldCharType="separate"/>
                    </w:r>
                    <w:r>
                      <w:t xml:space="preserve">35</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8"/>
                            <w:rPr>
                              <w:rFonts w:hint="default" w:eastAsia="宋体"/>
                              <w:lang w:val="en-US" w:eastAsia="zh-CN"/>
                            </w:rPr>
                          </w:pPr>
                          <w:r>
                            <w:rPr>
                              <w:rFonts w:hint="eastAsia"/>
                              <w:lang w:val="en-US" w:eastAsia="zh-CN"/>
                            </w:rPr>
                            <w:t xml:space="preserve">35</w:t>
                          </w:r>
                          <w:r/>
                        </w:p>
                      </w:txbxContent>
                    </wps:txbx>
                    <wps:bodyPr wrap="none" lIns="0" tIns="0" rIns="0" bIns="0" upright="1">
                      <a:spAutoFit/>
                    </wps:bodyPr>
                  </wps:wsp>
                </a:graphicData>
              </a:graphic>
            </wp:anchor>
          </w:drawing>
        </mc:Choice>
        <mc:Fallback>
          <w:pict>
            <v:shape id="shape 12" o:spid="_x0000_s1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8"/>
                      <w:rPr>
                        <w:rFonts w:hint="default" w:eastAsia="宋体"/>
                        <w:lang w:val="en-US" w:eastAsia="zh-CN"/>
                      </w:rPr>
                    </w:pPr>
                    <w:r>
                      <w:rPr>
                        <w:rFonts w:hint="eastAsia"/>
                        <w:lang w:val="en-US" w:eastAsia="zh-CN"/>
                      </w:rPr>
                      <w:t xml:space="preserve">35</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33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249"/>
      <w:isLgl w:val="false"/>
      <w:suff w:val="nothing"/>
      <w:lvlText w:val=""/>
      <w:lvlJc w:val="left"/>
      <w:pPr>
        <w:ind w:left="0" w:firstLine="0"/>
      </w:pPr>
      <w:rPr>
        <w:rFonts w:hint="eastAsia"/>
      </w:rPr>
    </w:lvl>
    <w:lvl w:ilvl="6">
      <w:start w:val="1"/>
      <w:numFmt w:val="decimal"/>
      <w:pStyle w:val="1250"/>
      <w:isLgl w:val="false"/>
      <w:suff w:val="nothing"/>
      <w:lvlText w:val=""/>
      <w:lvlJc w:val="left"/>
      <w:pPr>
        <w:ind w:left="0" w:firstLine="0"/>
      </w:pPr>
      <w:rPr>
        <w:rFonts w:hint="eastAsia"/>
      </w:rPr>
    </w:lvl>
    <w:lvl w:ilvl="7">
      <w:start w:val="1"/>
      <w:numFmt w:val="decimal"/>
      <w:pStyle w:val="1251"/>
      <w:isLgl w:val="false"/>
      <w:suff w:val="nothing"/>
      <w:lvlText w:val=""/>
      <w:lvlJc w:val="left"/>
      <w:pPr>
        <w:ind w:left="0" w:firstLine="0"/>
      </w:pPr>
      <w:rPr>
        <w:rFonts w:hint="eastAsia"/>
      </w:rPr>
    </w:lvl>
    <w:lvl w:ilvl="8">
      <w:start w:val="1"/>
      <w:numFmt w:val="decimal"/>
      <w:pStyle w:val="1252"/>
      <w:isLgl w:val="false"/>
      <w:suff w:val="nothing"/>
      <w:lvlText w:val=""/>
      <w:lvlJc w:val="left"/>
      <w:pPr>
        <w:ind w:left="0" w:firstLine="0"/>
      </w:pPr>
      <w:rPr>
        <w:rFonts w:hint="eastAsia"/>
      </w:rPr>
    </w:lvl>
  </w:abstractNum>
  <w:abstractNum w:abstractNumId="3">
    <w:multiLevelType w:val="hybridMultilevel"/>
    <w:lvl w:ilvl="0">
      <w:start w:val="1"/>
      <w:numFmt w:val="decimal"/>
      <w:pStyle w:val="133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80" w:hanging="360"/>
      </w:pPr>
      <w:rPr>
        <w:rFonts w:hint="default" w:ascii="Times New Roman" w:hAnsi="Times New Roman" w:eastAsia="宋体" w:cs="Times New Roman"/>
        <w:color w:val="auto"/>
        <w:sz w:val="24"/>
        <w:szCs w:val="24"/>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2"/>
  </w:num>
  <w:num w:numId="2">
    <w:abstractNumId w:val="1"/>
  </w:num>
  <w:num w:numId="3">
    <w:abstractNumId w:val="3"/>
  </w:num>
  <w:num w:numId="4">
    <w:abstractNumId w:val="0"/>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8" w:default="1">
    <w:name w:val="Normal"/>
    <w:next w:val="1070"/>
    <w:link w:val="135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59">
    <w:name w:val="Heading 1"/>
    <w:basedOn w:val="1058"/>
    <w:next w:val="1058"/>
    <w:link w:val="1095"/>
    <w:uiPriority w:val="9"/>
    <w:qFormat/>
    <w:pPr>
      <w:keepLines/>
      <w:keepNext/>
      <w:spacing w:before="480" w:after="200"/>
      <w:outlineLvl w:val="0"/>
    </w:pPr>
    <w:rPr>
      <w:rFonts w:ascii="Arial" w:hAnsi="Arial" w:eastAsia="Arial" w:cs="Arial"/>
      <w:sz w:val="40"/>
      <w:szCs w:val="40"/>
    </w:rPr>
  </w:style>
  <w:style w:type="paragraph" w:styleId="1060">
    <w:name w:val="Heading 2"/>
    <w:basedOn w:val="1058"/>
    <w:next w:val="1058"/>
    <w:link w:val="1096"/>
    <w:uiPriority w:val="9"/>
    <w:unhideWhenUsed/>
    <w:qFormat/>
    <w:pPr>
      <w:keepLines/>
      <w:keepNext/>
      <w:spacing w:before="360" w:after="200"/>
      <w:outlineLvl w:val="1"/>
    </w:pPr>
    <w:rPr>
      <w:rFonts w:ascii="Arial" w:hAnsi="Arial" w:eastAsia="Arial" w:cs="Arial"/>
      <w:sz w:val="34"/>
    </w:rPr>
  </w:style>
  <w:style w:type="paragraph" w:styleId="1061">
    <w:name w:val="Heading 3"/>
    <w:basedOn w:val="1058"/>
    <w:next w:val="1058"/>
    <w:link w:val="1097"/>
    <w:uiPriority w:val="9"/>
    <w:unhideWhenUsed/>
    <w:qFormat/>
    <w:pPr>
      <w:keepLines/>
      <w:keepNext/>
      <w:spacing w:before="320" w:after="200"/>
      <w:outlineLvl w:val="2"/>
    </w:pPr>
    <w:rPr>
      <w:rFonts w:ascii="Arial" w:hAnsi="Arial" w:eastAsia="Arial" w:cs="Arial"/>
      <w:sz w:val="30"/>
      <w:szCs w:val="30"/>
    </w:rPr>
  </w:style>
  <w:style w:type="paragraph" w:styleId="1062">
    <w:name w:val="Heading 4"/>
    <w:basedOn w:val="1058"/>
    <w:next w:val="1058"/>
    <w:link w:val="1098"/>
    <w:uiPriority w:val="9"/>
    <w:unhideWhenUsed/>
    <w:qFormat/>
    <w:pPr>
      <w:keepLines/>
      <w:keepNext/>
      <w:spacing w:before="320" w:after="200"/>
      <w:outlineLvl w:val="3"/>
    </w:pPr>
    <w:rPr>
      <w:rFonts w:ascii="Arial" w:hAnsi="Arial" w:eastAsia="Arial" w:cs="Arial"/>
      <w:b/>
      <w:bCs/>
      <w:sz w:val="26"/>
      <w:szCs w:val="26"/>
    </w:rPr>
  </w:style>
  <w:style w:type="paragraph" w:styleId="1063">
    <w:name w:val="Heading 5"/>
    <w:basedOn w:val="1058"/>
    <w:next w:val="1058"/>
    <w:link w:val="1099"/>
    <w:uiPriority w:val="9"/>
    <w:unhideWhenUsed/>
    <w:qFormat/>
    <w:pPr>
      <w:keepLines/>
      <w:keepNext/>
      <w:spacing w:before="320" w:after="200"/>
      <w:outlineLvl w:val="4"/>
    </w:pPr>
    <w:rPr>
      <w:rFonts w:ascii="Arial" w:hAnsi="Arial" w:eastAsia="Arial" w:cs="Arial"/>
      <w:b/>
      <w:bCs/>
      <w:sz w:val="24"/>
      <w:szCs w:val="24"/>
    </w:rPr>
  </w:style>
  <w:style w:type="paragraph" w:styleId="1064">
    <w:name w:val="Heading 6"/>
    <w:basedOn w:val="1058"/>
    <w:next w:val="1058"/>
    <w:link w:val="1100"/>
    <w:uiPriority w:val="9"/>
    <w:unhideWhenUsed/>
    <w:qFormat/>
    <w:pPr>
      <w:keepLines/>
      <w:keepNext/>
      <w:spacing w:before="320" w:after="200"/>
      <w:outlineLvl w:val="5"/>
    </w:pPr>
    <w:rPr>
      <w:rFonts w:ascii="Arial" w:hAnsi="Arial" w:eastAsia="Arial" w:cs="Arial"/>
      <w:b/>
      <w:bCs/>
      <w:sz w:val="22"/>
      <w:szCs w:val="22"/>
    </w:rPr>
  </w:style>
  <w:style w:type="paragraph" w:styleId="1065">
    <w:name w:val="Heading 7"/>
    <w:basedOn w:val="1058"/>
    <w:next w:val="1058"/>
    <w:link w:val="1101"/>
    <w:uiPriority w:val="9"/>
    <w:unhideWhenUsed/>
    <w:qFormat/>
    <w:pPr>
      <w:keepLines/>
      <w:keepNext/>
      <w:spacing w:before="320" w:after="200"/>
      <w:outlineLvl w:val="6"/>
    </w:pPr>
    <w:rPr>
      <w:rFonts w:ascii="Arial" w:hAnsi="Arial" w:eastAsia="Arial" w:cs="Arial"/>
      <w:b/>
      <w:bCs/>
      <w:i/>
      <w:iCs/>
      <w:sz w:val="22"/>
      <w:szCs w:val="22"/>
    </w:rPr>
  </w:style>
  <w:style w:type="paragraph" w:styleId="1066">
    <w:name w:val="Heading 8"/>
    <w:basedOn w:val="1058"/>
    <w:next w:val="1058"/>
    <w:link w:val="1102"/>
    <w:uiPriority w:val="9"/>
    <w:unhideWhenUsed/>
    <w:qFormat/>
    <w:pPr>
      <w:keepLines/>
      <w:keepNext/>
      <w:spacing w:before="320" w:after="200"/>
      <w:outlineLvl w:val="7"/>
    </w:pPr>
    <w:rPr>
      <w:rFonts w:ascii="Arial" w:hAnsi="Arial" w:eastAsia="Arial" w:cs="Arial"/>
      <w:i/>
      <w:iCs/>
      <w:sz w:val="22"/>
      <w:szCs w:val="22"/>
    </w:rPr>
  </w:style>
  <w:style w:type="paragraph" w:styleId="1067">
    <w:name w:val="Heading 9"/>
    <w:basedOn w:val="1058"/>
    <w:next w:val="1058"/>
    <w:link w:val="1103"/>
    <w:uiPriority w:val="9"/>
    <w:unhideWhenUsed/>
    <w:qFormat/>
    <w:pPr>
      <w:keepLines/>
      <w:keepNext/>
      <w:spacing w:before="320" w:after="200"/>
      <w:outlineLvl w:val="8"/>
    </w:pPr>
    <w:rPr>
      <w:rFonts w:ascii="Arial" w:hAnsi="Arial" w:eastAsia="Arial" w:cs="Arial"/>
      <w:i/>
      <w:iCs/>
      <w:sz w:val="21"/>
      <w:szCs w:val="21"/>
    </w:rPr>
  </w:style>
  <w:style w:type="character" w:styleId="1068" w:default="1">
    <w:name w:val="Default Paragraph Font"/>
    <w:uiPriority w:val="1"/>
    <w:semiHidden/>
    <w:unhideWhenUsed/>
    <w:qFormat/>
  </w:style>
  <w:style w:type="table" w:styleId="1069" w:default="1">
    <w:name w:val="Normal Table"/>
    <w:uiPriority w:val="99"/>
    <w:semiHidden/>
    <w:unhideWhenUsed/>
    <w:qFormat/>
    <w:tblPr>
      <w:tblCellMar>
        <w:left w:w="108" w:type="dxa"/>
        <w:top w:w="0" w:type="dxa"/>
        <w:right w:w="108" w:type="dxa"/>
        <w:bottom w:w="0" w:type="dxa"/>
      </w:tblCellMar>
    </w:tblPr>
  </w:style>
  <w:style w:type="paragraph" w:styleId="1070">
    <w:name w:val="toc 1"/>
    <w:basedOn w:val="1058"/>
    <w:next w:val="1058"/>
    <w:uiPriority w:val="39"/>
    <w:unhideWhenUsed/>
    <w:qFormat/>
    <w:pPr>
      <w:ind w:left="0" w:right="0" w:firstLine="0"/>
      <w:spacing w:after="57"/>
    </w:pPr>
  </w:style>
  <w:style w:type="paragraph" w:styleId="1071">
    <w:name w:val="toc 7"/>
    <w:basedOn w:val="1058"/>
    <w:next w:val="1058"/>
    <w:uiPriority w:val="39"/>
    <w:unhideWhenUsed/>
    <w:qFormat/>
    <w:pPr>
      <w:ind w:left="1701" w:right="0" w:firstLine="0"/>
      <w:spacing w:after="57"/>
    </w:pPr>
  </w:style>
  <w:style w:type="paragraph" w:styleId="1072">
    <w:name w:val="Caption"/>
    <w:basedOn w:val="1058"/>
    <w:next w:val="1058"/>
    <w:uiPriority w:val="35"/>
    <w:semiHidden/>
    <w:unhideWhenUsed/>
    <w:qFormat/>
    <w:pPr>
      <w:spacing w:line="276" w:lineRule="auto"/>
    </w:pPr>
    <w:rPr>
      <w:b/>
      <w:bCs/>
      <w:color w:val="4f81bd" w:themeColor="accent1"/>
      <w:sz w:val="18"/>
      <w:szCs w:val="18"/>
    </w:rPr>
  </w:style>
  <w:style w:type="paragraph" w:styleId="1073">
    <w:name w:val="Body Text"/>
    <w:basedOn w:val="1058"/>
    <w:uiPriority w:val="0"/>
    <w:qFormat/>
    <w:rPr>
      <w:rFonts w:ascii="楷体_GB2312" w:hAnsi="Arial" w:eastAsia="楷体_GB2312" w:cs="Times New Roman"/>
      <w:sz w:val="28"/>
      <w:szCs w:val="28"/>
    </w:rPr>
  </w:style>
  <w:style w:type="paragraph" w:styleId="1074">
    <w:name w:val="toc 5"/>
    <w:basedOn w:val="1058"/>
    <w:next w:val="1058"/>
    <w:uiPriority w:val="39"/>
    <w:unhideWhenUsed/>
    <w:qFormat/>
    <w:pPr>
      <w:ind w:left="1134" w:right="0" w:firstLine="0"/>
      <w:spacing w:after="57"/>
    </w:pPr>
  </w:style>
  <w:style w:type="paragraph" w:styleId="1075">
    <w:name w:val="toc 3"/>
    <w:basedOn w:val="1058"/>
    <w:next w:val="1058"/>
    <w:uiPriority w:val="39"/>
    <w:unhideWhenUsed/>
    <w:qFormat/>
    <w:pPr>
      <w:ind w:left="567" w:right="0" w:firstLine="0"/>
      <w:spacing w:after="57"/>
    </w:pPr>
  </w:style>
  <w:style w:type="paragraph" w:styleId="1076">
    <w:name w:val="toc 8"/>
    <w:basedOn w:val="1058"/>
    <w:next w:val="1058"/>
    <w:uiPriority w:val="39"/>
    <w:unhideWhenUsed/>
    <w:qFormat/>
    <w:pPr>
      <w:ind w:left="1984" w:right="0" w:firstLine="0"/>
      <w:spacing w:after="57"/>
    </w:pPr>
  </w:style>
  <w:style w:type="paragraph" w:styleId="1077">
    <w:name w:val="endnote text"/>
    <w:basedOn w:val="1058"/>
    <w:link w:val="1241"/>
    <w:uiPriority w:val="99"/>
    <w:semiHidden/>
    <w:unhideWhenUsed/>
    <w:qFormat/>
    <w:pPr>
      <w:spacing w:after="0" w:line="240" w:lineRule="auto"/>
    </w:pPr>
    <w:rPr>
      <w:sz w:val="20"/>
    </w:rPr>
  </w:style>
  <w:style w:type="paragraph" w:styleId="1078">
    <w:name w:val="Footer"/>
    <w:basedOn w:val="1058"/>
    <w:link w:val="1114"/>
    <w:uiPriority w:val="99"/>
    <w:unhideWhenUsed/>
    <w:qFormat/>
    <w:pPr>
      <w:spacing w:after="0" w:line="240" w:lineRule="auto"/>
      <w:tabs>
        <w:tab w:val="center" w:pos="7143" w:leader="none"/>
        <w:tab w:val="right" w:pos="14287" w:leader="none"/>
      </w:tabs>
    </w:pPr>
  </w:style>
  <w:style w:type="paragraph" w:styleId="1079">
    <w:name w:val="Header"/>
    <w:basedOn w:val="1058"/>
    <w:link w:val="1112"/>
    <w:uiPriority w:val="99"/>
    <w:unhideWhenUsed/>
    <w:qFormat/>
    <w:pPr>
      <w:spacing w:after="0" w:line="240" w:lineRule="auto"/>
      <w:tabs>
        <w:tab w:val="center" w:pos="7143" w:leader="none"/>
        <w:tab w:val="right" w:pos="14287" w:leader="none"/>
      </w:tabs>
    </w:pPr>
  </w:style>
  <w:style w:type="paragraph" w:styleId="1080">
    <w:name w:val="toc 4"/>
    <w:basedOn w:val="1058"/>
    <w:next w:val="1058"/>
    <w:uiPriority w:val="39"/>
    <w:unhideWhenUsed/>
    <w:qFormat/>
    <w:pPr>
      <w:ind w:left="850" w:right="0" w:firstLine="0"/>
      <w:spacing w:after="57"/>
    </w:pPr>
  </w:style>
  <w:style w:type="paragraph" w:styleId="1081">
    <w:name w:val="Subtitle"/>
    <w:basedOn w:val="1058"/>
    <w:next w:val="1058"/>
    <w:link w:val="1107"/>
    <w:uiPriority w:val="11"/>
    <w:qFormat/>
    <w:pPr>
      <w:spacing w:before="200" w:after="200"/>
    </w:pPr>
    <w:rPr>
      <w:sz w:val="24"/>
      <w:szCs w:val="24"/>
    </w:rPr>
  </w:style>
  <w:style w:type="paragraph" w:styleId="1082">
    <w:name w:val="footnote text"/>
    <w:basedOn w:val="1058"/>
    <w:link w:val="1240"/>
    <w:uiPriority w:val="99"/>
    <w:semiHidden/>
    <w:unhideWhenUsed/>
    <w:qFormat/>
    <w:pPr>
      <w:spacing w:after="40" w:line="240" w:lineRule="auto"/>
    </w:pPr>
    <w:rPr>
      <w:sz w:val="18"/>
    </w:rPr>
  </w:style>
  <w:style w:type="paragraph" w:styleId="1083">
    <w:name w:val="toc 6"/>
    <w:basedOn w:val="1058"/>
    <w:next w:val="1058"/>
    <w:uiPriority w:val="39"/>
    <w:unhideWhenUsed/>
    <w:qFormat/>
    <w:pPr>
      <w:ind w:left="1417" w:right="0" w:firstLine="0"/>
      <w:spacing w:after="57"/>
    </w:pPr>
  </w:style>
  <w:style w:type="paragraph" w:styleId="1084">
    <w:name w:val="table of figures"/>
    <w:basedOn w:val="1058"/>
    <w:next w:val="1058"/>
    <w:uiPriority w:val="99"/>
    <w:unhideWhenUsed/>
    <w:qFormat/>
    <w:pPr>
      <w:spacing w:after="0" w:afterAutospacing="0"/>
    </w:pPr>
  </w:style>
  <w:style w:type="paragraph" w:styleId="1085">
    <w:name w:val="toc 2"/>
    <w:basedOn w:val="1058"/>
    <w:next w:val="1058"/>
    <w:uiPriority w:val="39"/>
    <w:unhideWhenUsed/>
    <w:qFormat/>
    <w:pPr>
      <w:ind w:left="283" w:right="0" w:firstLine="0"/>
      <w:spacing w:after="57"/>
    </w:pPr>
  </w:style>
  <w:style w:type="paragraph" w:styleId="1086">
    <w:name w:val="toc 9"/>
    <w:basedOn w:val="1058"/>
    <w:next w:val="1058"/>
    <w:uiPriority w:val="39"/>
    <w:unhideWhenUsed/>
    <w:qFormat/>
    <w:pPr>
      <w:ind w:left="2268" w:right="0" w:firstLine="0"/>
      <w:spacing w:after="57"/>
    </w:pPr>
  </w:style>
  <w:style w:type="paragraph" w:styleId="1087">
    <w:name w:val="Normal (Web)"/>
    <w:basedOn w:val="1058"/>
    <w:uiPriority w:val="99"/>
    <w:semiHidden/>
    <w:unhideWhenUsed/>
    <w:qFormat/>
    <w:pPr>
      <w:ind w:left="0" w:right="0"/>
      <w:jc w:val="left"/>
      <w:spacing w:before="0" w:beforeAutospacing="1" w:after="0" w:afterAutospacing="1"/>
    </w:pPr>
    <w:rPr>
      <w:sz w:val="24"/>
      <w:lang w:val="en-US" w:eastAsia="zh-CN" w:bidi="ar"/>
    </w:rPr>
  </w:style>
  <w:style w:type="paragraph" w:styleId="1088">
    <w:name w:val="Title"/>
    <w:basedOn w:val="1058"/>
    <w:next w:val="1058"/>
    <w:link w:val="1106"/>
    <w:uiPriority w:val="10"/>
    <w:qFormat/>
    <w:pPr>
      <w:contextualSpacing/>
      <w:spacing w:before="300" w:after="200"/>
    </w:pPr>
    <w:rPr>
      <w:sz w:val="48"/>
      <w:szCs w:val="48"/>
    </w:rPr>
  </w:style>
  <w:style w:type="paragraph" w:styleId="1089">
    <w:name w:val="Body Text First Indent"/>
    <w:basedOn w:val="1073"/>
    <w:uiPriority w:val="0"/>
    <w:qFormat/>
    <w:pPr>
      <w:ind w:firstLine="200"/>
      <w:spacing w:line="360" w:lineRule="auto"/>
    </w:pPr>
    <w:rPr>
      <w:rFonts w:ascii="仿宋_GB2312" w:hAnsi="Times New Roman" w:eastAsia="仿宋_GB2312" w:cs="Times New Roman"/>
      <w:sz w:val="30"/>
      <w:szCs w:val="30"/>
    </w:rPr>
  </w:style>
  <w:style w:type="table" w:styleId="109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91">
    <w:name w:val="Strong"/>
    <w:uiPriority w:val="0"/>
    <w:qFormat/>
    <w:rPr>
      <w:b/>
      <w:bCs/>
    </w:rPr>
  </w:style>
  <w:style w:type="character" w:styleId="1092">
    <w:name w:val="endnote reference"/>
    <w:uiPriority w:val="99"/>
    <w:semiHidden/>
    <w:unhideWhenUsed/>
    <w:qFormat/>
    <w:rPr>
      <w:vertAlign w:val="superscript"/>
    </w:rPr>
  </w:style>
  <w:style w:type="character" w:styleId="1093">
    <w:name w:val="Hyperlink"/>
    <w:uiPriority w:val="99"/>
    <w:unhideWhenUsed/>
    <w:qFormat/>
    <w:rPr>
      <w:color w:val="0000ff" w:themeColor="hyperlink"/>
      <w:u w:val="single"/>
    </w:rPr>
  </w:style>
  <w:style w:type="character" w:styleId="1094">
    <w:name w:val="footnote reference"/>
    <w:uiPriority w:val="99"/>
    <w:unhideWhenUsed/>
    <w:qFormat/>
    <w:rPr>
      <w:vertAlign w:val="superscript"/>
    </w:rPr>
  </w:style>
  <w:style w:type="character" w:styleId="1095" w:customStyle="1">
    <w:name w:val="Heading 1 Char"/>
    <w:link w:val="1059"/>
    <w:uiPriority w:val="9"/>
    <w:qFormat/>
    <w:rPr>
      <w:rFonts w:ascii="Arial" w:hAnsi="Arial" w:eastAsia="Arial" w:cs="Arial"/>
      <w:sz w:val="40"/>
      <w:szCs w:val="40"/>
    </w:rPr>
  </w:style>
  <w:style w:type="character" w:styleId="1096" w:customStyle="1">
    <w:name w:val="Heading 2 Char"/>
    <w:link w:val="1060"/>
    <w:uiPriority w:val="9"/>
    <w:qFormat/>
    <w:rPr>
      <w:rFonts w:ascii="Arial" w:hAnsi="Arial" w:eastAsia="Arial" w:cs="Arial"/>
      <w:sz w:val="34"/>
    </w:rPr>
  </w:style>
  <w:style w:type="character" w:styleId="1097" w:customStyle="1">
    <w:name w:val="Heading 3 Char"/>
    <w:link w:val="1061"/>
    <w:uiPriority w:val="9"/>
    <w:qFormat/>
    <w:rPr>
      <w:rFonts w:ascii="Arial" w:hAnsi="Arial" w:eastAsia="Arial" w:cs="Arial"/>
      <w:sz w:val="30"/>
      <w:szCs w:val="30"/>
    </w:rPr>
  </w:style>
  <w:style w:type="character" w:styleId="1098" w:customStyle="1">
    <w:name w:val="Heading 4 Char"/>
    <w:link w:val="1062"/>
    <w:uiPriority w:val="9"/>
    <w:qFormat/>
    <w:rPr>
      <w:rFonts w:ascii="Arial" w:hAnsi="Arial" w:eastAsia="Arial" w:cs="Arial"/>
      <w:b/>
      <w:bCs/>
      <w:sz w:val="26"/>
      <w:szCs w:val="26"/>
    </w:rPr>
  </w:style>
  <w:style w:type="character" w:styleId="1099" w:customStyle="1">
    <w:name w:val="Heading 5 Char"/>
    <w:link w:val="1063"/>
    <w:uiPriority w:val="9"/>
    <w:qFormat/>
    <w:rPr>
      <w:rFonts w:ascii="Arial" w:hAnsi="Arial" w:eastAsia="Arial" w:cs="Arial"/>
      <w:b/>
      <w:bCs/>
      <w:sz w:val="24"/>
      <w:szCs w:val="24"/>
    </w:rPr>
  </w:style>
  <w:style w:type="character" w:styleId="1100" w:customStyle="1">
    <w:name w:val="Heading 6 Char"/>
    <w:link w:val="1064"/>
    <w:uiPriority w:val="9"/>
    <w:qFormat/>
    <w:rPr>
      <w:rFonts w:ascii="Arial" w:hAnsi="Arial" w:eastAsia="Arial" w:cs="Arial"/>
      <w:b/>
      <w:bCs/>
      <w:sz w:val="22"/>
      <w:szCs w:val="22"/>
    </w:rPr>
  </w:style>
  <w:style w:type="character" w:styleId="1101" w:customStyle="1">
    <w:name w:val="Heading 7 Char"/>
    <w:link w:val="1065"/>
    <w:uiPriority w:val="9"/>
    <w:qFormat/>
    <w:rPr>
      <w:rFonts w:ascii="Arial" w:hAnsi="Arial" w:eastAsia="Arial" w:cs="Arial"/>
      <w:b/>
      <w:bCs/>
      <w:i/>
      <w:iCs/>
      <w:sz w:val="22"/>
      <w:szCs w:val="22"/>
    </w:rPr>
  </w:style>
  <w:style w:type="character" w:styleId="1102" w:customStyle="1">
    <w:name w:val="Heading 8 Char"/>
    <w:link w:val="1066"/>
    <w:uiPriority w:val="9"/>
    <w:qFormat/>
    <w:rPr>
      <w:rFonts w:ascii="Arial" w:hAnsi="Arial" w:eastAsia="Arial" w:cs="Arial"/>
      <w:i/>
      <w:iCs/>
      <w:sz w:val="22"/>
      <w:szCs w:val="22"/>
    </w:rPr>
  </w:style>
  <w:style w:type="character" w:styleId="1103" w:customStyle="1">
    <w:name w:val="Heading 9 Char"/>
    <w:link w:val="1067"/>
    <w:uiPriority w:val="9"/>
    <w:qFormat/>
    <w:rPr>
      <w:rFonts w:ascii="Arial" w:hAnsi="Arial" w:eastAsia="Arial" w:cs="Arial"/>
      <w:i/>
      <w:iCs/>
      <w:sz w:val="21"/>
      <w:szCs w:val="21"/>
    </w:rPr>
  </w:style>
  <w:style w:type="paragraph" w:styleId="1104">
    <w:name w:val="List Paragraph"/>
    <w:basedOn w:val="1058"/>
    <w:uiPriority w:val="34"/>
    <w:qFormat/>
    <w:pPr>
      <w:contextualSpacing/>
      <w:ind w:left="720"/>
    </w:pPr>
  </w:style>
  <w:style w:type="paragraph" w:styleId="1105">
    <w:name w:val="No Spacing"/>
    <w:uiPriority w:val="1"/>
    <w:qFormat/>
    <w:pPr>
      <w:spacing w:before="0" w:after="0" w:line="240" w:lineRule="auto"/>
    </w:pPr>
    <w:rPr>
      <w:rFonts w:hint="default" w:ascii="Calibri" w:hAnsi="Calibri" w:eastAsia="宋体" w:cs="Times New Roman"/>
    </w:rPr>
  </w:style>
  <w:style w:type="character" w:styleId="1106" w:customStyle="1">
    <w:name w:val="Title Char"/>
    <w:link w:val="1088"/>
    <w:uiPriority w:val="10"/>
    <w:qFormat/>
    <w:rPr>
      <w:sz w:val="48"/>
      <w:szCs w:val="48"/>
    </w:rPr>
  </w:style>
  <w:style w:type="character" w:styleId="1107" w:customStyle="1">
    <w:name w:val="Subtitle Char"/>
    <w:link w:val="1081"/>
    <w:uiPriority w:val="11"/>
    <w:qFormat/>
    <w:rPr>
      <w:sz w:val="24"/>
      <w:szCs w:val="24"/>
    </w:rPr>
  </w:style>
  <w:style w:type="paragraph" w:styleId="1108">
    <w:name w:val="Quote"/>
    <w:basedOn w:val="1058"/>
    <w:next w:val="1058"/>
    <w:link w:val="1109"/>
    <w:uiPriority w:val="29"/>
    <w:qFormat/>
    <w:pPr>
      <w:ind w:left="720" w:right="720"/>
    </w:pPr>
    <w:rPr>
      <w:i/>
    </w:rPr>
  </w:style>
  <w:style w:type="character" w:styleId="1109" w:customStyle="1">
    <w:name w:val="Quote Char"/>
    <w:link w:val="1108"/>
    <w:uiPriority w:val="29"/>
    <w:qFormat/>
    <w:rPr>
      <w:i/>
    </w:rPr>
  </w:style>
  <w:style w:type="paragraph" w:styleId="1110">
    <w:name w:val="Intense Quote"/>
    <w:basedOn w:val="1058"/>
    <w:next w:val="1058"/>
    <w:link w:val="11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1" w:customStyle="1">
    <w:name w:val="Intense Quote Char"/>
    <w:link w:val="1110"/>
    <w:uiPriority w:val="30"/>
    <w:qFormat/>
    <w:rPr>
      <w:i/>
    </w:rPr>
  </w:style>
  <w:style w:type="character" w:styleId="1112" w:customStyle="1">
    <w:name w:val="Header Char"/>
    <w:link w:val="1079"/>
    <w:uiPriority w:val="99"/>
    <w:qFormat/>
  </w:style>
  <w:style w:type="character" w:styleId="1113" w:customStyle="1">
    <w:name w:val="Footer Char"/>
    <w:link w:val="1078"/>
    <w:uiPriority w:val="99"/>
    <w:qFormat/>
  </w:style>
  <w:style w:type="character" w:styleId="1114" w:customStyle="1">
    <w:name w:val="Caption Char"/>
    <w:link w:val="1078"/>
    <w:uiPriority w:val="99"/>
    <w:qFormat/>
  </w:style>
  <w:style w:type="table" w:styleId="111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1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2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2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2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2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2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2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2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2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3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3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3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3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3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3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4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4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4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4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4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4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5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5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5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5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5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5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15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15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15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16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16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6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6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6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6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6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7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7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7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7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7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7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7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7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7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8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8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8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8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8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8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8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8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9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9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9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9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9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9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9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9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19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20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20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20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20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20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20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20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20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20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20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21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21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21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1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1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1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1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3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3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3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3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3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3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3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40" w:customStyle="1">
    <w:name w:val="Footnote Text Char"/>
    <w:link w:val="1082"/>
    <w:uiPriority w:val="99"/>
    <w:qFormat/>
    <w:rPr>
      <w:sz w:val="18"/>
    </w:rPr>
  </w:style>
  <w:style w:type="character" w:styleId="1241" w:customStyle="1">
    <w:name w:val="Endnote Text Char"/>
    <w:link w:val="1077"/>
    <w:uiPriority w:val="99"/>
    <w:qFormat/>
    <w:rPr>
      <w:sz w:val="20"/>
    </w:rPr>
  </w:style>
  <w:style w:type="paragraph" w:styleId="1242" w:customStyle="1">
    <w:name w:val="TOC Heading"/>
    <w:uiPriority w:val="39"/>
    <w:unhideWhenUsed/>
    <w:qFormat/>
    <w:rPr>
      <w:rFonts w:hint="default" w:ascii="Calibri" w:hAnsi="Calibri" w:eastAsia="宋体" w:cs="Times New Roman"/>
    </w:rPr>
  </w:style>
  <w:style w:type="paragraph" w:styleId="1243" w:customStyle="1">
    <w:name w:val="标题 11"/>
    <w:basedOn w:val="1058"/>
    <w:next w:val="1058"/>
    <w:link w:val="1255"/>
    <w:uiPriority w:val="0"/>
    <w:qFormat/>
    <w:pPr>
      <w:jc w:val="center"/>
      <w:keepNext/>
      <w:outlineLvl w:val="0"/>
    </w:pPr>
    <w:rPr>
      <w:rFonts w:ascii="楷体_GB2312" w:eastAsia="楷体_GB2312"/>
      <w:sz w:val="28"/>
      <w:szCs w:val="28"/>
    </w:rPr>
  </w:style>
  <w:style w:type="paragraph" w:styleId="1244" w:customStyle="1">
    <w:name w:val="标题 21"/>
    <w:basedOn w:val="1058"/>
    <w:next w:val="1245"/>
    <w:link w:val="125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245" w:customStyle="1">
    <w:name w:val="正文缩进1"/>
    <w:basedOn w:val="1058"/>
    <w:link w:val="1257"/>
    <w:uiPriority w:val="0"/>
    <w:qFormat/>
    <w:pPr>
      <w:ind w:firstLine="420"/>
    </w:pPr>
  </w:style>
  <w:style w:type="paragraph" w:styleId="1246" w:customStyle="1">
    <w:name w:val="标题 31"/>
    <w:basedOn w:val="1058"/>
    <w:next w:val="1245"/>
    <w:link w:val="1258"/>
    <w:uiPriority w:val="0"/>
    <w:qFormat/>
    <w:pPr>
      <w:keepLines/>
      <w:keepNext/>
      <w:spacing w:before="260" w:after="260" w:line="416" w:lineRule="auto"/>
      <w:outlineLvl w:val="2"/>
    </w:pPr>
    <w:rPr>
      <w:b/>
      <w:bCs/>
      <w:sz w:val="32"/>
      <w:szCs w:val="32"/>
    </w:rPr>
  </w:style>
  <w:style w:type="paragraph" w:styleId="1247" w:customStyle="1">
    <w:name w:val="标题 41"/>
    <w:basedOn w:val="1058"/>
    <w:next w:val="1245"/>
    <w:link w:val="1259"/>
    <w:uiPriority w:val="0"/>
    <w:qFormat/>
    <w:pPr>
      <w:keepLines/>
      <w:keepNext/>
      <w:spacing w:before="280" w:after="290" w:line="376" w:lineRule="auto"/>
      <w:outlineLvl w:val="3"/>
    </w:pPr>
    <w:rPr>
      <w:rFonts w:ascii="Arial" w:hAnsi="Arial" w:eastAsia="黑体" w:cs="Arial"/>
      <w:b/>
      <w:bCs/>
      <w:sz w:val="28"/>
      <w:szCs w:val="28"/>
    </w:rPr>
  </w:style>
  <w:style w:type="paragraph" w:styleId="1248" w:customStyle="1">
    <w:name w:val="标题 51"/>
    <w:basedOn w:val="1058"/>
    <w:next w:val="1245"/>
    <w:link w:val="1260"/>
    <w:uiPriority w:val="0"/>
    <w:qFormat/>
    <w:pPr>
      <w:keepNext/>
      <w:outlineLvl w:val="4"/>
    </w:pPr>
    <w:rPr>
      <w:rFonts w:ascii="宋体"/>
      <w:color w:val="000000"/>
      <w:sz w:val="28"/>
      <w:szCs w:val="28"/>
    </w:rPr>
  </w:style>
  <w:style w:type="paragraph" w:styleId="1249" w:customStyle="1">
    <w:name w:val="标题 61"/>
    <w:basedOn w:val="1058"/>
    <w:next w:val="1058"/>
    <w:link w:val="126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250" w:customStyle="1">
    <w:name w:val="标题 71"/>
    <w:basedOn w:val="1058"/>
    <w:next w:val="1058"/>
    <w:link w:val="1262"/>
    <w:uiPriority w:val="0"/>
    <w:qFormat/>
    <w:pPr>
      <w:numPr>
        <w:ilvl w:val="6"/>
        <w:numId w:val="1"/>
      </w:numPr>
      <w:keepLines/>
      <w:keepNext/>
      <w:spacing w:before="240" w:after="64" w:line="320" w:lineRule="auto"/>
      <w:outlineLvl w:val="6"/>
    </w:pPr>
    <w:rPr>
      <w:b/>
      <w:bCs/>
      <w:sz w:val="24"/>
      <w:szCs w:val="24"/>
    </w:rPr>
  </w:style>
  <w:style w:type="paragraph" w:styleId="1251" w:customStyle="1">
    <w:name w:val="标题 81"/>
    <w:basedOn w:val="1058"/>
    <w:next w:val="1058"/>
    <w:link w:val="126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252" w:customStyle="1">
    <w:name w:val="标题 91"/>
    <w:basedOn w:val="1058"/>
    <w:next w:val="1058"/>
    <w:link w:val="1264"/>
    <w:uiPriority w:val="0"/>
    <w:qFormat/>
    <w:pPr>
      <w:numPr>
        <w:ilvl w:val="8"/>
        <w:numId w:val="1"/>
      </w:numPr>
      <w:keepLines/>
      <w:keepNext/>
      <w:spacing w:before="240" w:after="64" w:line="320" w:lineRule="auto"/>
      <w:outlineLvl w:val="8"/>
    </w:pPr>
    <w:rPr>
      <w:rFonts w:ascii="Arial" w:hAnsi="Arial" w:eastAsia="黑体"/>
    </w:rPr>
  </w:style>
  <w:style w:type="character" w:styleId="1253" w:customStyle="1">
    <w:name w:val="默认段落字体1"/>
    <w:link w:val="1058"/>
    <w:uiPriority w:val="1"/>
    <w:unhideWhenUsed/>
    <w:qFormat/>
  </w:style>
  <w:style w:type="table" w:styleId="1254" w:customStyle="1">
    <w:name w:val="普通表格1"/>
    <w:uiPriority w:val="99"/>
    <w:unhideWhenUsed/>
    <w:qFormat/>
    <w:tblPr/>
  </w:style>
  <w:style w:type="character" w:styleId="1255" w:customStyle="1">
    <w:name w:val="标题 1 Char"/>
    <w:link w:val="1243"/>
    <w:uiPriority w:val="0"/>
    <w:qFormat/>
    <w:rPr>
      <w:rFonts w:ascii="楷体_GB2312" w:hAnsi="Times New Roman" w:eastAsia="楷体_GB2312" w:cs="Times New Roman"/>
      <w:sz w:val="28"/>
      <w:szCs w:val="28"/>
    </w:rPr>
  </w:style>
  <w:style w:type="character" w:styleId="1256" w:customStyle="1">
    <w:name w:val="标题 2 Char"/>
    <w:link w:val="1244"/>
    <w:uiPriority w:val="0"/>
    <w:qFormat/>
    <w:rPr>
      <w:rFonts w:ascii="Arial" w:hAnsi="Arial" w:eastAsia="幼圆" w:cs="Arial"/>
      <w:b/>
      <w:bCs/>
      <w:sz w:val="44"/>
      <w:szCs w:val="44"/>
    </w:rPr>
  </w:style>
  <w:style w:type="character" w:styleId="1257" w:customStyle="1">
    <w:name w:val="正文缩进 Char"/>
    <w:link w:val="1245"/>
    <w:uiPriority w:val="0"/>
    <w:qFormat/>
    <w:rPr>
      <w:rFonts w:ascii="Times New Roman" w:hAnsi="Times New Roman" w:eastAsia="宋体" w:cs="Times New Roman"/>
      <w:szCs w:val="21"/>
    </w:rPr>
  </w:style>
  <w:style w:type="character" w:styleId="1258" w:customStyle="1">
    <w:name w:val="标题 3 Char"/>
    <w:link w:val="1246"/>
    <w:uiPriority w:val="0"/>
    <w:qFormat/>
    <w:rPr>
      <w:rFonts w:ascii="Times New Roman" w:hAnsi="Times New Roman" w:eastAsia="宋体" w:cs="Times New Roman"/>
      <w:b/>
      <w:bCs/>
      <w:sz w:val="32"/>
      <w:szCs w:val="32"/>
    </w:rPr>
  </w:style>
  <w:style w:type="character" w:styleId="1259" w:customStyle="1">
    <w:name w:val="标题 4 Char"/>
    <w:link w:val="1247"/>
    <w:uiPriority w:val="0"/>
    <w:qFormat/>
    <w:rPr>
      <w:rFonts w:ascii="Arial" w:hAnsi="Arial" w:eastAsia="黑体" w:cs="Arial"/>
      <w:b/>
      <w:bCs/>
      <w:sz w:val="28"/>
      <w:szCs w:val="28"/>
    </w:rPr>
  </w:style>
  <w:style w:type="character" w:styleId="1260" w:customStyle="1">
    <w:name w:val="标题 5 Char"/>
    <w:link w:val="1248"/>
    <w:uiPriority w:val="0"/>
    <w:qFormat/>
    <w:rPr>
      <w:rFonts w:ascii="宋体" w:hAnsi="Times New Roman" w:eastAsia="宋体" w:cs="Times New Roman"/>
      <w:color w:val="000000"/>
      <w:sz w:val="28"/>
      <w:szCs w:val="28"/>
    </w:rPr>
  </w:style>
  <w:style w:type="character" w:styleId="1261" w:customStyle="1">
    <w:name w:val="标题 6 Char"/>
    <w:link w:val="1249"/>
    <w:uiPriority w:val="0"/>
    <w:qFormat/>
    <w:rPr>
      <w:rFonts w:ascii="Arial" w:hAnsi="Arial" w:eastAsia="黑体" w:cs="Times New Roman"/>
      <w:b/>
      <w:bCs/>
      <w:sz w:val="24"/>
      <w:szCs w:val="24"/>
    </w:rPr>
  </w:style>
  <w:style w:type="character" w:styleId="1262" w:customStyle="1">
    <w:name w:val="标题 7 Char"/>
    <w:link w:val="1250"/>
    <w:uiPriority w:val="0"/>
    <w:qFormat/>
    <w:rPr>
      <w:rFonts w:ascii="Times New Roman" w:hAnsi="Times New Roman" w:eastAsia="宋体" w:cs="Times New Roman"/>
      <w:b/>
      <w:bCs/>
      <w:sz w:val="24"/>
      <w:szCs w:val="24"/>
    </w:rPr>
  </w:style>
  <w:style w:type="character" w:styleId="1263" w:customStyle="1">
    <w:name w:val="标题 8 Char"/>
    <w:link w:val="1251"/>
    <w:uiPriority w:val="0"/>
    <w:qFormat/>
    <w:rPr>
      <w:rFonts w:ascii="Arial" w:hAnsi="Arial" w:eastAsia="黑体" w:cs="Times New Roman"/>
      <w:sz w:val="24"/>
      <w:szCs w:val="24"/>
    </w:rPr>
  </w:style>
  <w:style w:type="character" w:styleId="1264" w:customStyle="1">
    <w:name w:val="标题 9 Char"/>
    <w:link w:val="1252"/>
    <w:uiPriority w:val="0"/>
    <w:qFormat/>
    <w:rPr>
      <w:rFonts w:ascii="Arial" w:hAnsi="Arial" w:eastAsia="黑体" w:cs="Times New Roman"/>
      <w:szCs w:val="21"/>
    </w:rPr>
  </w:style>
  <w:style w:type="paragraph" w:styleId="1265" w:customStyle="1">
    <w:name w:val="列表 31"/>
    <w:basedOn w:val="1058"/>
    <w:uiPriority w:val="0"/>
    <w:qFormat/>
    <w:pPr>
      <w:ind w:left="100" w:hanging="200"/>
    </w:pPr>
  </w:style>
  <w:style w:type="paragraph" w:styleId="1266" w:customStyle="1">
    <w:name w:val="目录 71"/>
    <w:basedOn w:val="1058"/>
    <w:next w:val="1058"/>
    <w:uiPriority w:val="0"/>
    <w:semiHidden/>
    <w:qFormat/>
    <w:pPr>
      <w:ind w:left="1260"/>
      <w:jc w:val="left"/>
    </w:pPr>
  </w:style>
  <w:style w:type="paragraph" w:styleId="1267" w:customStyle="1">
    <w:name w:val="文档结构图1"/>
    <w:basedOn w:val="1058"/>
    <w:link w:val="1268"/>
    <w:uiPriority w:val="0"/>
    <w:semiHidden/>
    <w:qFormat/>
    <w:pPr>
      <w:shd w:val="clear" w:color="auto" w:fill="000080"/>
    </w:pPr>
  </w:style>
  <w:style w:type="character" w:styleId="1268" w:customStyle="1">
    <w:name w:val="文档结构图 Char"/>
    <w:link w:val="1267"/>
    <w:uiPriority w:val="0"/>
    <w:semiHidden/>
    <w:qFormat/>
    <w:rPr>
      <w:rFonts w:ascii="Times New Roman" w:hAnsi="Times New Roman" w:eastAsia="宋体" w:cs="Times New Roman"/>
      <w:szCs w:val="21"/>
      <w:shd w:val="clear" w:color="auto" w:fill="000080"/>
    </w:rPr>
  </w:style>
  <w:style w:type="paragraph" w:styleId="1269" w:customStyle="1">
    <w:name w:val="批注文字1"/>
    <w:basedOn w:val="1058"/>
    <w:link w:val="1270"/>
    <w:uiPriority w:val="0"/>
    <w:semiHidden/>
    <w:qFormat/>
    <w:pPr>
      <w:jc w:val="left"/>
    </w:pPr>
  </w:style>
  <w:style w:type="character" w:styleId="1270" w:customStyle="1">
    <w:name w:val="批注文字 Char"/>
    <w:link w:val="1269"/>
    <w:uiPriority w:val="0"/>
    <w:semiHidden/>
    <w:qFormat/>
    <w:rPr>
      <w:rFonts w:ascii="Times New Roman" w:hAnsi="Times New Roman" w:eastAsia="宋体" w:cs="Times New Roman"/>
      <w:szCs w:val="21"/>
    </w:rPr>
  </w:style>
  <w:style w:type="paragraph" w:styleId="1271" w:customStyle="1">
    <w:name w:val="正文文本 31"/>
    <w:basedOn w:val="1058"/>
    <w:link w:val="1272"/>
    <w:uiPriority w:val="0"/>
    <w:qFormat/>
    <w:rPr>
      <w:rFonts w:ascii="仿宋_GB2312" w:hAnsi="Arial" w:eastAsia="仿宋_GB2312"/>
      <w:sz w:val="32"/>
      <w:szCs w:val="32"/>
    </w:rPr>
  </w:style>
  <w:style w:type="character" w:styleId="1272" w:customStyle="1">
    <w:name w:val="正文文本 3 Char"/>
    <w:link w:val="1271"/>
    <w:uiPriority w:val="0"/>
    <w:qFormat/>
    <w:rPr>
      <w:rFonts w:ascii="仿宋_GB2312" w:hAnsi="Arial" w:eastAsia="仿宋_GB2312" w:cs="Times New Roman"/>
      <w:sz w:val="32"/>
      <w:szCs w:val="32"/>
    </w:rPr>
  </w:style>
  <w:style w:type="paragraph" w:styleId="1273" w:customStyle="1">
    <w:name w:val="正文文本1"/>
    <w:basedOn w:val="1058"/>
    <w:link w:val="1274"/>
    <w:uiPriority w:val="0"/>
    <w:qFormat/>
    <w:rPr>
      <w:rFonts w:ascii="楷体_GB2312" w:hAnsi="Arial" w:eastAsia="楷体_GB2312"/>
      <w:sz w:val="28"/>
      <w:szCs w:val="28"/>
    </w:rPr>
  </w:style>
  <w:style w:type="character" w:styleId="1274" w:customStyle="1">
    <w:name w:val="正文文本 Char"/>
    <w:link w:val="1273"/>
    <w:uiPriority w:val="0"/>
    <w:qFormat/>
    <w:rPr>
      <w:rFonts w:ascii="楷体_GB2312" w:hAnsi="Arial" w:eastAsia="楷体_GB2312" w:cs="Times New Roman"/>
      <w:sz w:val="28"/>
      <w:szCs w:val="28"/>
    </w:rPr>
  </w:style>
  <w:style w:type="paragraph" w:styleId="1275" w:customStyle="1">
    <w:name w:val="正文文本缩进1"/>
    <w:basedOn w:val="1058"/>
    <w:link w:val="1276"/>
    <w:uiPriority w:val="0"/>
    <w:qFormat/>
    <w:pPr>
      <w:ind w:firstLine="645"/>
    </w:pPr>
    <w:rPr>
      <w:rFonts w:ascii="楷体_GB2312" w:eastAsia="楷体_GB2312"/>
      <w:sz w:val="32"/>
      <w:szCs w:val="32"/>
    </w:rPr>
  </w:style>
  <w:style w:type="character" w:styleId="1276" w:customStyle="1">
    <w:name w:val="正文文本缩进 Char"/>
    <w:link w:val="1275"/>
    <w:uiPriority w:val="0"/>
    <w:qFormat/>
    <w:rPr>
      <w:rFonts w:ascii="楷体_GB2312" w:hAnsi="Times New Roman" w:eastAsia="楷体_GB2312" w:cs="Times New Roman"/>
      <w:sz w:val="32"/>
      <w:szCs w:val="32"/>
    </w:rPr>
  </w:style>
  <w:style w:type="paragraph" w:styleId="1277" w:customStyle="1">
    <w:name w:val="列表 21"/>
    <w:basedOn w:val="1058"/>
    <w:uiPriority w:val="0"/>
    <w:qFormat/>
    <w:pPr>
      <w:ind w:left="100" w:hanging="200"/>
    </w:pPr>
  </w:style>
  <w:style w:type="paragraph" w:styleId="1278" w:customStyle="1">
    <w:name w:val="目录 51"/>
    <w:basedOn w:val="1058"/>
    <w:next w:val="1058"/>
    <w:uiPriority w:val="0"/>
    <w:semiHidden/>
    <w:qFormat/>
    <w:pPr>
      <w:ind w:left="840"/>
      <w:jc w:val="left"/>
    </w:pPr>
  </w:style>
  <w:style w:type="paragraph" w:styleId="1279" w:customStyle="1">
    <w:name w:val="目录 31"/>
    <w:basedOn w:val="1058"/>
    <w:next w:val="1058"/>
    <w:uiPriority w:val="0"/>
    <w:semiHidden/>
    <w:qFormat/>
    <w:pPr>
      <w:ind w:left="420"/>
      <w:jc w:val="left"/>
    </w:pPr>
    <w:rPr>
      <w:i/>
      <w:iCs/>
      <w:szCs w:val="24"/>
    </w:rPr>
  </w:style>
  <w:style w:type="paragraph" w:styleId="1280" w:customStyle="1">
    <w:name w:val="纯文本1"/>
    <w:basedOn w:val="1058"/>
    <w:link w:val="1281"/>
    <w:uiPriority w:val="0"/>
    <w:qFormat/>
    <w:rPr>
      <w:rFonts w:ascii="宋体" w:hAnsi="Courier New" w:cs="Courier New"/>
    </w:rPr>
  </w:style>
  <w:style w:type="character" w:styleId="1281" w:customStyle="1">
    <w:name w:val="纯文本 Char"/>
    <w:link w:val="1280"/>
    <w:uiPriority w:val="0"/>
    <w:qFormat/>
    <w:rPr>
      <w:rFonts w:ascii="宋体" w:hAnsi="Courier New" w:eastAsia="宋体" w:cs="Courier New"/>
      <w:szCs w:val="21"/>
    </w:rPr>
  </w:style>
  <w:style w:type="paragraph" w:styleId="1282" w:customStyle="1">
    <w:name w:val="目录 81"/>
    <w:basedOn w:val="1058"/>
    <w:next w:val="1058"/>
    <w:uiPriority w:val="0"/>
    <w:semiHidden/>
    <w:qFormat/>
    <w:pPr>
      <w:ind w:left="1470"/>
      <w:jc w:val="left"/>
    </w:pPr>
  </w:style>
  <w:style w:type="paragraph" w:styleId="1283" w:customStyle="1">
    <w:name w:val="日期1"/>
    <w:basedOn w:val="1058"/>
    <w:next w:val="1058"/>
    <w:link w:val="1284"/>
    <w:uiPriority w:val="0"/>
    <w:qFormat/>
    <w:rPr>
      <w:sz w:val="24"/>
      <w:szCs w:val="24"/>
    </w:rPr>
  </w:style>
  <w:style w:type="character" w:styleId="1284" w:customStyle="1">
    <w:name w:val="日期 Char"/>
    <w:link w:val="1283"/>
    <w:uiPriority w:val="0"/>
    <w:qFormat/>
    <w:rPr>
      <w:rFonts w:ascii="Times New Roman" w:hAnsi="Times New Roman" w:eastAsia="宋体" w:cs="Times New Roman"/>
      <w:sz w:val="24"/>
      <w:szCs w:val="24"/>
    </w:rPr>
  </w:style>
  <w:style w:type="paragraph" w:styleId="1285" w:customStyle="1">
    <w:name w:val="正文文本缩进 21"/>
    <w:basedOn w:val="1058"/>
    <w:link w:val="1286"/>
    <w:uiPriority w:val="0"/>
    <w:qFormat/>
    <w:pPr>
      <w:ind w:left="630" w:firstLine="645"/>
    </w:pPr>
    <w:rPr>
      <w:rFonts w:ascii="Arial" w:hAnsi="Arial" w:eastAsia="仿宋_GB2312" w:cs="Arial"/>
      <w:sz w:val="32"/>
      <w:szCs w:val="32"/>
    </w:rPr>
  </w:style>
  <w:style w:type="character" w:styleId="1286" w:customStyle="1">
    <w:name w:val="正文文本缩进 2 Char"/>
    <w:link w:val="1285"/>
    <w:uiPriority w:val="0"/>
    <w:qFormat/>
    <w:rPr>
      <w:rFonts w:ascii="Arial" w:hAnsi="Arial" w:eastAsia="仿宋_GB2312" w:cs="Arial"/>
      <w:sz w:val="32"/>
      <w:szCs w:val="32"/>
    </w:rPr>
  </w:style>
  <w:style w:type="paragraph" w:styleId="1287" w:customStyle="1">
    <w:name w:val="批注框文本1"/>
    <w:basedOn w:val="1058"/>
    <w:link w:val="1288"/>
    <w:uiPriority w:val="0"/>
    <w:semiHidden/>
    <w:qFormat/>
    <w:rPr>
      <w:sz w:val="18"/>
      <w:szCs w:val="18"/>
    </w:rPr>
  </w:style>
  <w:style w:type="character" w:styleId="1288" w:customStyle="1">
    <w:name w:val="批注框文本 Char"/>
    <w:link w:val="1287"/>
    <w:uiPriority w:val="0"/>
    <w:semiHidden/>
    <w:qFormat/>
    <w:rPr>
      <w:rFonts w:ascii="Times New Roman" w:hAnsi="Times New Roman" w:eastAsia="宋体" w:cs="Times New Roman"/>
      <w:sz w:val="18"/>
      <w:szCs w:val="18"/>
    </w:rPr>
  </w:style>
  <w:style w:type="paragraph" w:styleId="1289" w:customStyle="1">
    <w:name w:val="页脚1"/>
    <w:basedOn w:val="1058"/>
    <w:link w:val="1290"/>
    <w:uiPriority w:val="99"/>
    <w:qFormat/>
    <w:pPr>
      <w:jc w:val="left"/>
      <w:tabs>
        <w:tab w:val="center" w:pos="4153" w:leader="none"/>
        <w:tab w:val="right" w:pos="8306" w:leader="none"/>
      </w:tabs>
    </w:pPr>
    <w:rPr>
      <w:sz w:val="18"/>
      <w:szCs w:val="18"/>
    </w:rPr>
  </w:style>
  <w:style w:type="character" w:styleId="1290" w:customStyle="1">
    <w:name w:val="页脚 Char"/>
    <w:link w:val="1289"/>
    <w:uiPriority w:val="99"/>
    <w:qFormat/>
    <w:rPr>
      <w:rFonts w:ascii="Times New Roman" w:hAnsi="Times New Roman" w:eastAsia="宋体" w:cs="Times New Roman"/>
      <w:sz w:val="18"/>
      <w:szCs w:val="18"/>
    </w:rPr>
  </w:style>
  <w:style w:type="paragraph" w:styleId="1291" w:customStyle="1">
    <w:name w:val="页眉1"/>
    <w:basedOn w:val="1058"/>
    <w:link w:val="1292"/>
    <w:uiPriority w:val="0"/>
    <w:qFormat/>
    <w:pPr>
      <w:jc w:val="center"/>
      <w:tabs>
        <w:tab w:val="center" w:pos="4153" w:leader="none"/>
        <w:tab w:val="right" w:pos="8306" w:leader="none"/>
      </w:tabs>
      <w:pBdr>
        <w:bottom w:val="single" w:color="000000" w:sz="6" w:space="1"/>
      </w:pBdr>
    </w:pPr>
    <w:rPr>
      <w:sz w:val="18"/>
      <w:szCs w:val="18"/>
    </w:rPr>
  </w:style>
  <w:style w:type="character" w:styleId="1292" w:customStyle="1">
    <w:name w:val="页眉 Char"/>
    <w:link w:val="1291"/>
    <w:uiPriority w:val="0"/>
    <w:qFormat/>
    <w:rPr>
      <w:rFonts w:ascii="Times New Roman" w:hAnsi="Times New Roman" w:eastAsia="宋体" w:cs="Times New Roman"/>
      <w:sz w:val="18"/>
      <w:szCs w:val="18"/>
    </w:rPr>
  </w:style>
  <w:style w:type="paragraph" w:styleId="1293" w:customStyle="1">
    <w:name w:val="目录 11"/>
    <w:basedOn w:val="1058"/>
    <w:next w:val="1058"/>
    <w:uiPriority w:val="0"/>
    <w:semiHidden/>
    <w:qFormat/>
    <w:pPr>
      <w:jc w:val="left"/>
      <w:spacing w:before="120" w:after="120" w:line="400" w:lineRule="exact"/>
      <w:tabs>
        <w:tab w:val="right" w:pos="8720" w:leader="dot"/>
      </w:tabs>
    </w:pPr>
    <w:rPr>
      <w:rFonts w:ascii="宋体" w:hAnsi="宋体"/>
      <w:caps/>
      <w:sz w:val="24"/>
      <w:szCs w:val="24"/>
    </w:rPr>
  </w:style>
  <w:style w:type="paragraph" w:styleId="1294" w:customStyle="1">
    <w:name w:val="目录 41"/>
    <w:basedOn w:val="1058"/>
    <w:next w:val="1058"/>
    <w:uiPriority w:val="0"/>
    <w:semiHidden/>
    <w:qFormat/>
    <w:pPr>
      <w:ind w:left="630"/>
      <w:jc w:val="left"/>
    </w:pPr>
  </w:style>
  <w:style w:type="paragraph" w:styleId="1295" w:customStyle="1">
    <w:name w:val="列表1"/>
    <w:basedOn w:val="1058"/>
    <w:uiPriority w:val="0"/>
    <w:qFormat/>
    <w:pPr>
      <w:ind w:left="200" w:hanging="200"/>
    </w:pPr>
  </w:style>
  <w:style w:type="paragraph" w:styleId="1296" w:customStyle="1">
    <w:name w:val="目录 61"/>
    <w:basedOn w:val="1058"/>
    <w:next w:val="1058"/>
    <w:uiPriority w:val="0"/>
    <w:semiHidden/>
    <w:qFormat/>
    <w:pPr>
      <w:ind w:left="1050"/>
      <w:jc w:val="left"/>
    </w:pPr>
  </w:style>
  <w:style w:type="paragraph" w:styleId="1297" w:customStyle="1">
    <w:name w:val="正文文本缩进 31"/>
    <w:basedOn w:val="1058"/>
    <w:link w:val="1298"/>
    <w:uiPriority w:val="0"/>
    <w:qFormat/>
    <w:pPr>
      <w:ind w:left="645" w:firstLine="645"/>
    </w:pPr>
    <w:rPr>
      <w:rFonts w:ascii="Arial" w:hAnsi="Arial" w:eastAsia="仿宋_GB2312" w:cs="Arial"/>
      <w:color w:val="ffff00"/>
      <w:sz w:val="32"/>
      <w:szCs w:val="32"/>
    </w:rPr>
  </w:style>
  <w:style w:type="character" w:styleId="1298" w:customStyle="1">
    <w:name w:val="正文文本缩进 3 Char"/>
    <w:link w:val="1297"/>
    <w:uiPriority w:val="0"/>
    <w:qFormat/>
    <w:rPr>
      <w:rFonts w:ascii="Arial" w:hAnsi="Arial" w:eastAsia="仿宋_GB2312" w:cs="Arial"/>
      <w:color w:val="ffff00"/>
      <w:sz w:val="32"/>
      <w:szCs w:val="32"/>
    </w:rPr>
  </w:style>
  <w:style w:type="paragraph" w:styleId="1299" w:customStyle="1">
    <w:name w:val="图表目录1"/>
    <w:basedOn w:val="1058"/>
    <w:next w:val="1058"/>
    <w:uiPriority w:val="0"/>
    <w:semiHidden/>
    <w:qFormat/>
    <w:pPr>
      <w:ind w:left="840" w:hanging="420"/>
    </w:pPr>
  </w:style>
  <w:style w:type="paragraph" w:styleId="1300" w:customStyle="1">
    <w:name w:val="目录 21"/>
    <w:basedOn w:val="1058"/>
    <w:next w:val="1058"/>
    <w:uiPriority w:val="0"/>
    <w:semiHidden/>
    <w:qFormat/>
    <w:pPr>
      <w:ind w:left="210"/>
      <w:jc w:val="left"/>
    </w:pPr>
    <w:rPr>
      <w:smallCaps/>
      <w:szCs w:val="24"/>
    </w:rPr>
  </w:style>
  <w:style w:type="paragraph" w:styleId="1301" w:customStyle="1">
    <w:name w:val="目录 91"/>
    <w:basedOn w:val="1058"/>
    <w:next w:val="1058"/>
    <w:uiPriority w:val="0"/>
    <w:semiHidden/>
    <w:qFormat/>
    <w:pPr>
      <w:ind w:left="1680"/>
      <w:jc w:val="left"/>
    </w:pPr>
  </w:style>
  <w:style w:type="paragraph" w:styleId="1302" w:customStyle="1">
    <w:name w:val="正文文本 21"/>
    <w:basedOn w:val="1058"/>
    <w:link w:val="1303"/>
    <w:uiPriority w:val="0"/>
    <w:qFormat/>
    <w:pPr>
      <w:jc w:val="center"/>
      <w:widowControl/>
    </w:pPr>
    <w:rPr>
      <w:rFonts w:ascii="楷体_GB2312" w:eastAsia="楷体_GB2312"/>
      <w:sz w:val="28"/>
      <w:szCs w:val="28"/>
    </w:rPr>
  </w:style>
  <w:style w:type="character" w:styleId="1303" w:customStyle="1">
    <w:name w:val="正文文本 2 Char"/>
    <w:link w:val="1302"/>
    <w:uiPriority w:val="0"/>
    <w:qFormat/>
    <w:rPr>
      <w:rFonts w:ascii="楷体_GB2312" w:hAnsi="Times New Roman" w:eastAsia="楷体_GB2312" w:cs="Times New Roman"/>
      <w:sz w:val="28"/>
      <w:szCs w:val="28"/>
    </w:rPr>
  </w:style>
  <w:style w:type="paragraph" w:styleId="1304" w:customStyle="1">
    <w:name w:val="普通(网站)1"/>
    <w:basedOn w:val="1058"/>
    <w:uiPriority w:val="99"/>
    <w:qFormat/>
    <w:pPr>
      <w:jc w:val="left"/>
      <w:spacing w:before="100" w:beforeAutospacing="1" w:after="100" w:afterAutospacing="1"/>
      <w:widowControl/>
    </w:pPr>
    <w:rPr>
      <w:rFonts w:ascii="宋体" w:hAnsi="宋体" w:cs="宋体"/>
      <w:sz w:val="24"/>
      <w:szCs w:val="24"/>
    </w:rPr>
  </w:style>
  <w:style w:type="paragraph" w:styleId="1305" w:customStyle="1">
    <w:name w:val="索引 11"/>
    <w:basedOn w:val="1058"/>
    <w:next w:val="1058"/>
    <w:uiPriority w:val="0"/>
    <w:semiHidden/>
    <w:qFormat/>
    <w:pPr>
      <w:spacing w:line="240" w:lineRule="atLeast"/>
    </w:pPr>
    <w:rPr>
      <w:b/>
      <w:bCs/>
    </w:rPr>
  </w:style>
  <w:style w:type="paragraph" w:styleId="1306" w:customStyle="1">
    <w:name w:val="批注主题1"/>
    <w:basedOn w:val="1269"/>
    <w:next w:val="1269"/>
    <w:link w:val="1307"/>
    <w:uiPriority w:val="0"/>
    <w:semiHidden/>
    <w:qFormat/>
    <w:rPr>
      <w:b/>
      <w:bCs/>
    </w:rPr>
  </w:style>
  <w:style w:type="character" w:styleId="1307" w:customStyle="1">
    <w:name w:val="批注主题 Char"/>
    <w:link w:val="1306"/>
    <w:uiPriority w:val="0"/>
    <w:semiHidden/>
    <w:qFormat/>
    <w:rPr>
      <w:rFonts w:ascii="Times New Roman" w:hAnsi="Times New Roman" w:eastAsia="宋体" w:cs="Times New Roman"/>
      <w:b/>
      <w:bCs/>
      <w:szCs w:val="21"/>
    </w:rPr>
  </w:style>
  <w:style w:type="paragraph" w:styleId="1308" w:customStyle="1">
    <w:name w:val="正文首行缩进1"/>
    <w:basedOn w:val="1058"/>
    <w:link w:val="1309"/>
    <w:uiPriority w:val="0"/>
    <w:qFormat/>
    <w:pPr>
      <w:ind w:firstLine="200"/>
      <w:spacing w:line="360" w:lineRule="auto"/>
    </w:pPr>
    <w:rPr>
      <w:rFonts w:ascii="仿宋_GB2312" w:eastAsia="仿宋_GB2312"/>
      <w:sz w:val="30"/>
      <w:szCs w:val="30"/>
    </w:rPr>
  </w:style>
  <w:style w:type="character" w:styleId="1309" w:customStyle="1">
    <w:name w:val="正文首行缩进 Char"/>
    <w:link w:val="1308"/>
    <w:uiPriority w:val="0"/>
    <w:qFormat/>
    <w:rPr>
      <w:rFonts w:ascii="仿宋_GB2312" w:hAnsi="Times New Roman" w:eastAsia="仿宋_GB2312" w:cs="Times New Roman"/>
      <w:sz w:val="30"/>
      <w:szCs w:val="30"/>
    </w:rPr>
  </w:style>
  <w:style w:type="paragraph" w:styleId="1310" w:customStyle="1">
    <w:name w:val="正文首行缩进 21"/>
    <w:basedOn w:val="1275"/>
    <w:link w:val="1311"/>
    <w:uiPriority w:val="0"/>
    <w:qFormat/>
    <w:pPr>
      <w:ind w:firstLine="420"/>
      <w:spacing w:line="360" w:lineRule="auto"/>
    </w:pPr>
    <w:rPr>
      <w:rFonts w:ascii="宋体" w:hAnsi="宋体" w:eastAsia="宋体"/>
      <w:sz w:val="21"/>
      <w:szCs w:val="20"/>
    </w:rPr>
  </w:style>
  <w:style w:type="character" w:styleId="1311" w:customStyle="1">
    <w:name w:val="正文首行缩进 2 Char"/>
    <w:link w:val="1310"/>
    <w:uiPriority w:val="0"/>
    <w:qFormat/>
    <w:rPr>
      <w:rFonts w:ascii="宋体" w:hAnsi="宋体" w:eastAsia="宋体" w:cs="Times New Roman"/>
      <w:sz w:val="32"/>
      <w:szCs w:val="20"/>
    </w:rPr>
  </w:style>
  <w:style w:type="table" w:styleId="1312" w:customStyle="1">
    <w:name w:val="网格型1"/>
    <w:basedOn w:val="1254"/>
    <w:uiPriority w:val="0"/>
    <w:qFormat/>
    <w:pPr>
      <w:jc w:val="both"/>
      <w:widowControl w:val="off"/>
    </w:pPr>
    <w:rPr>
      <w:rFonts w:ascii="Times New Roman" w:hAnsi="Times New Roman" w:eastAsia="宋体" w:cs="Times New Roman"/>
      <w:sz w:val="20"/>
      <w:szCs w:val="20"/>
    </w:rPr>
    <w:tblPr/>
  </w:style>
  <w:style w:type="character" w:styleId="1313" w:customStyle="1">
    <w:name w:val="要点1"/>
    <w:link w:val="1058"/>
    <w:uiPriority w:val="0"/>
    <w:qFormat/>
    <w:rPr>
      <w:b/>
      <w:bCs/>
    </w:rPr>
  </w:style>
  <w:style w:type="character" w:styleId="1314" w:customStyle="1">
    <w:name w:val="页码1"/>
    <w:link w:val="1058"/>
    <w:uiPriority w:val="0"/>
    <w:qFormat/>
  </w:style>
  <w:style w:type="character" w:styleId="1315" w:customStyle="1">
    <w:name w:val="已访问的超链接1"/>
    <w:link w:val="1058"/>
    <w:uiPriority w:val="0"/>
    <w:qFormat/>
    <w:rPr>
      <w:color w:val="800080"/>
      <w:u w:val="single"/>
    </w:rPr>
  </w:style>
  <w:style w:type="character" w:styleId="1316" w:customStyle="1">
    <w:name w:val="超链接1"/>
    <w:link w:val="1058"/>
    <w:uiPriority w:val="0"/>
    <w:qFormat/>
    <w:rPr>
      <w:color w:val="0000ff"/>
      <w:u w:val="single"/>
    </w:rPr>
  </w:style>
  <w:style w:type="character" w:styleId="1317" w:customStyle="1">
    <w:name w:val="批注引用1"/>
    <w:link w:val="1058"/>
    <w:uiPriority w:val="0"/>
    <w:semiHidden/>
    <w:qFormat/>
    <w:rPr>
      <w:sz w:val="21"/>
      <w:szCs w:val="21"/>
    </w:rPr>
  </w:style>
  <w:style w:type="character" w:styleId="1318" w:customStyle="1">
    <w:name w:val="font5 Char"/>
    <w:link w:val="1058"/>
    <w:uiPriority w:val="0"/>
    <w:qFormat/>
    <w:rPr>
      <w:rFonts w:ascii="宋体" w:hAnsi="宋体" w:eastAsia="宋体"/>
      <w:sz w:val="28"/>
      <w:szCs w:val="28"/>
      <w:lang w:val="en-US" w:eastAsia="zh-CN" w:bidi="ar-SA"/>
    </w:rPr>
  </w:style>
  <w:style w:type="character" w:styleId="1319" w:customStyle="1">
    <w:name w:val="二级目录 Char"/>
    <w:link w:val="1320"/>
    <w:uiPriority w:val="0"/>
    <w:qFormat/>
    <w:rPr>
      <w:b/>
      <w:sz w:val="30"/>
      <w:szCs w:val="28"/>
    </w:rPr>
  </w:style>
  <w:style w:type="paragraph" w:styleId="1320" w:customStyle="1">
    <w:name w:val="二级目录"/>
    <w:next w:val="1058"/>
    <w:link w:val="1319"/>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321" w:customStyle="1">
    <w:name w:val="列出段落 Char"/>
    <w:link w:val="1322"/>
    <w:uiPriority w:val="0"/>
    <w:qFormat/>
    <w:rPr>
      <w:rFonts w:ascii="Calibri" w:hAnsi="Calibri"/>
      <w:sz w:val="24"/>
      <w:szCs w:val="24"/>
      <w:lang w:eastAsia="en-US" w:bidi="en-US"/>
    </w:rPr>
  </w:style>
  <w:style w:type="paragraph" w:styleId="1322" w:customStyle="1">
    <w:name w:val="列出段落1"/>
    <w:basedOn w:val="1058"/>
    <w:link w:val="1321"/>
    <w:uiPriority w:val="0"/>
    <w:qFormat/>
    <w:pPr>
      <w:contextualSpacing/>
      <w:ind w:left="720"/>
      <w:jc w:val="left"/>
      <w:widowControl/>
    </w:pPr>
    <w:rPr>
      <w:rFonts w:ascii="Calibri" w:hAnsi="Calibri" w:eastAsia="宋体" w:cs="Times New Roman"/>
      <w:sz w:val="24"/>
      <w:szCs w:val="24"/>
      <w:lang w:eastAsia="en-US" w:bidi="en-US"/>
    </w:rPr>
  </w:style>
  <w:style w:type="paragraph" w:styleId="1323" w:customStyle="1">
    <w:name w:val="Body Text(ch)"/>
    <w:basedOn w:val="1058"/>
    <w:next w:val="1273"/>
    <w:uiPriority w:val="0"/>
    <w:qFormat/>
    <w:pPr>
      <w:spacing w:after="120"/>
    </w:pPr>
    <w:rPr>
      <w:rFonts w:ascii="宋体" w:hAnsi="Arial"/>
      <w:bCs/>
      <w:iCs/>
      <w:szCs w:val="24"/>
    </w:rPr>
  </w:style>
  <w:style w:type="paragraph" w:styleId="1324" w:customStyle="1">
    <w:name w:val="xl27"/>
    <w:basedOn w:val="10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25" w:customStyle="1">
    <w:name w:val="xl26"/>
    <w:basedOn w:val="10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326" w:customStyle="1">
    <w:name w:val="Char"/>
    <w:basedOn w:val="1058"/>
    <w:uiPriority w:val="0"/>
    <w:qFormat/>
    <w:pPr>
      <w:ind w:firstLine="200"/>
      <w:tabs>
        <w:tab w:val="left" w:pos="360" w:leader="none"/>
      </w:tabs>
    </w:pPr>
    <w:rPr>
      <w:sz w:val="28"/>
      <w:szCs w:val="30"/>
    </w:rPr>
  </w:style>
  <w:style w:type="paragraph" w:styleId="1327" w:customStyle="1">
    <w:name w:val=" Char"/>
    <w:basedOn w:val="1267"/>
    <w:uiPriority w:val="0"/>
    <w:qFormat/>
    <w:rPr>
      <w:rFonts w:ascii="Tahoma" w:hAnsi="Tahoma"/>
      <w:sz w:val="24"/>
      <w:szCs w:val="24"/>
    </w:rPr>
  </w:style>
  <w:style w:type="paragraph" w:styleId="1328" w:customStyle="1">
    <w:name w:val="普通正文"/>
    <w:basedOn w:val="1058"/>
    <w:uiPriority w:val="0"/>
    <w:qFormat/>
    <w:pPr>
      <w:ind w:firstLine="480"/>
      <w:jc w:val="left"/>
      <w:spacing w:before="120" w:after="120" w:line="360" w:lineRule="auto"/>
    </w:pPr>
    <w:rPr>
      <w:rFonts w:ascii="Arial" w:hAnsi="Arial"/>
      <w:sz w:val="24"/>
      <w:szCs w:val="24"/>
    </w:rPr>
  </w:style>
  <w:style w:type="paragraph" w:styleId="1329" w:customStyle="1">
    <w:name w:val="table_lines"/>
    <w:basedOn w:val="1058"/>
    <w:uiPriority w:val="0"/>
    <w:qFormat/>
    <w:pPr>
      <w:jc w:val="left"/>
      <w:widowControl/>
    </w:pPr>
    <w:rPr>
      <w:sz w:val="20"/>
      <w:szCs w:val="20"/>
      <w:lang w:val="de-DE" w:eastAsia="de-DE"/>
    </w:rPr>
  </w:style>
  <w:style w:type="paragraph" w:styleId="133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331" w:customStyle="1">
    <w:name w:val="font7"/>
    <w:basedOn w:val="1058"/>
    <w:uiPriority w:val="0"/>
    <w:qFormat/>
    <w:pPr>
      <w:jc w:val="left"/>
      <w:spacing w:before="100" w:beforeAutospacing="1" w:after="100" w:afterAutospacing="1"/>
      <w:widowControl/>
    </w:pPr>
    <w:rPr>
      <w:rFonts w:hint="eastAsia" w:ascii="宋体" w:hAnsi="宋体"/>
      <w:sz w:val="18"/>
      <w:szCs w:val="18"/>
    </w:rPr>
  </w:style>
  <w:style w:type="paragraph" w:styleId="1332" w:customStyle="1">
    <w:name w:val=" Char Char Char Char"/>
    <w:basedOn w:val="1267"/>
    <w:uiPriority w:val="0"/>
    <w:qFormat/>
    <w:pPr>
      <w:spacing w:line="360" w:lineRule="auto"/>
    </w:pPr>
    <w:rPr>
      <w:rFonts w:ascii="Tahoma" w:hAnsi="Tahoma"/>
      <w:sz w:val="24"/>
      <w:szCs w:val="24"/>
    </w:rPr>
  </w:style>
  <w:style w:type="paragraph" w:styleId="1333" w:customStyle="1">
    <w:name w:val="列出段落"/>
    <w:basedOn w:val="1058"/>
    <w:uiPriority w:val="0"/>
    <w:qFormat/>
    <w:pPr>
      <w:contextualSpacing/>
      <w:ind w:left="720"/>
      <w:jc w:val="left"/>
      <w:widowControl/>
    </w:pPr>
    <w:rPr>
      <w:rFonts w:ascii="Calibri" w:hAnsi="Calibri"/>
      <w:sz w:val="24"/>
      <w:szCs w:val="24"/>
      <w:lang w:eastAsia="en-US" w:bidi="en-US"/>
    </w:rPr>
  </w:style>
  <w:style w:type="paragraph" w:styleId="1334" w:customStyle="1">
    <w:name w:val="4"/>
    <w:basedOn w:val="1058"/>
    <w:next w:val="1297"/>
    <w:uiPriority w:val="0"/>
    <w:qFormat/>
    <w:pPr>
      <w:ind w:firstLine="420"/>
      <w:spacing w:line="360" w:lineRule="auto"/>
    </w:pPr>
    <w:rPr>
      <w:color w:val="ff0000"/>
      <w:sz w:val="24"/>
      <w:szCs w:val="24"/>
    </w:rPr>
  </w:style>
  <w:style w:type="paragraph" w:styleId="1335" w:customStyle="1">
    <w:name w:val="普通 (Web)"/>
    <w:basedOn w:val="1058"/>
    <w:uiPriority w:val="0"/>
    <w:qFormat/>
    <w:pPr>
      <w:jc w:val="left"/>
      <w:spacing w:before="100" w:beforeAutospacing="1" w:after="100" w:afterAutospacing="1"/>
      <w:widowControl/>
    </w:pPr>
    <w:rPr>
      <w:rFonts w:ascii="宋体" w:hAnsi="宋体"/>
      <w:sz w:val="24"/>
      <w:szCs w:val="24"/>
    </w:rPr>
  </w:style>
  <w:style w:type="paragraph" w:styleId="1336" w:customStyle="1">
    <w:name w:val=" Char Char Char Char Char Char Char Char Char Char"/>
    <w:basedOn w:val="1058"/>
    <w:uiPriority w:val="0"/>
    <w:qFormat/>
    <w:pPr>
      <w:spacing w:line="360" w:lineRule="auto"/>
    </w:pPr>
    <w:rPr>
      <w:sz w:val="24"/>
      <w:szCs w:val="20"/>
    </w:rPr>
  </w:style>
  <w:style w:type="paragraph" w:styleId="1337" w:customStyle="1">
    <w:name w:val="样式1"/>
    <w:basedOn w:val="1058"/>
    <w:uiPriority w:val="0"/>
    <w:qFormat/>
    <w:pPr>
      <w:numPr>
        <w:ilvl w:val="0"/>
        <w:numId w:val="3"/>
      </w:numPr>
    </w:pPr>
    <w:rPr>
      <w:rFonts w:ascii="宋体" w:hAnsi="宋体"/>
    </w:rPr>
  </w:style>
  <w:style w:type="paragraph" w:styleId="1338" w:customStyle="1">
    <w:name w:val="font6"/>
    <w:basedOn w:val="1058"/>
    <w:uiPriority w:val="0"/>
    <w:qFormat/>
    <w:pPr>
      <w:jc w:val="left"/>
      <w:spacing w:before="100" w:beforeAutospacing="1" w:after="100" w:afterAutospacing="1"/>
      <w:widowControl/>
    </w:pPr>
    <w:rPr>
      <w:rFonts w:hint="eastAsia" w:ascii="宋体" w:hAnsi="宋体"/>
      <w:sz w:val="28"/>
      <w:szCs w:val="28"/>
      <w:u w:val="single"/>
    </w:rPr>
  </w:style>
  <w:style w:type="paragraph" w:styleId="1339" w:customStyle="1">
    <w:name w:val="xl25"/>
    <w:basedOn w:val="105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40" w:customStyle="1">
    <w:name w:val="图标"/>
    <w:basedOn w:val="1058"/>
    <w:next w:val="105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41" w:customStyle="1">
    <w:name w:val="标题3"/>
    <w:basedOn w:val="1058"/>
    <w:next w:val="1058"/>
    <w:uiPriority w:val="0"/>
    <w:qFormat/>
    <w:pPr>
      <w:ind w:firstLine="624"/>
      <w:spacing w:line="590" w:lineRule="atLeast"/>
    </w:pPr>
    <w:rPr>
      <w:rFonts w:ascii="方正黑体_GBK" w:eastAsia="方正黑体_GBK"/>
      <w:sz w:val="32"/>
      <w:szCs w:val="32"/>
    </w:rPr>
  </w:style>
  <w:style w:type="paragraph" w:styleId="1342" w:customStyle="1">
    <w:name w:val="xl24"/>
    <w:basedOn w:val="10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43" w:customStyle="1">
    <w:name w:val="xl29"/>
    <w:basedOn w:val="105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44" w:customStyle="1">
    <w:name w:val="Char Char Char Char Char Char Char Char"/>
    <w:basedOn w:val="1058"/>
    <w:uiPriority w:val="0"/>
    <w:qFormat/>
    <w:pPr>
      <w:jc w:val="left"/>
      <w:spacing w:after="160" w:line="240" w:lineRule="exact"/>
      <w:widowControl/>
    </w:pPr>
    <w:rPr>
      <w:rFonts w:ascii="Verdana" w:hAnsi="Verdana"/>
      <w:sz w:val="20"/>
      <w:szCs w:val="20"/>
      <w:lang w:eastAsia="en-US"/>
    </w:rPr>
  </w:style>
  <w:style w:type="paragraph" w:styleId="1345" w:customStyle="1">
    <w:name w:val="xl28"/>
    <w:basedOn w:val="105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46" w:customStyle="1">
    <w:name w:val=" Char Char Char Char Char Char Char Char"/>
    <w:basedOn w:val="1058"/>
    <w:uiPriority w:val="0"/>
    <w:qFormat/>
    <w:pPr>
      <w:jc w:val="left"/>
      <w:spacing w:after="160" w:line="240" w:lineRule="exact"/>
      <w:widowControl/>
    </w:pPr>
    <w:rPr>
      <w:rFonts w:ascii="Verdana" w:hAnsi="Verdana"/>
      <w:sz w:val="20"/>
      <w:szCs w:val="20"/>
      <w:lang w:eastAsia="en-US"/>
    </w:rPr>
  </w:style>
  <w:style w:type="paragraph" w:styleId="1347" w:customStyle="1">
    <w:name w:val="xl30"/>
    <w:basedOn w:val="1058"/>
    <w:uiPriority w:val="0"/>
    <w:qFormat/>
    <w:pPr>
      <w:jc w:val="center"/>
      <w:spacing w:before="100" w:beforeAutospacing="1" w:after="100" w:afterAutospacing="1"/>
      <w:widowControl/>
    </w:pPr>
    <w:rPr>
      <w:rFonts w:ascii="宋体" w:hAnsi="宋体"/>
      <w:b/>
      <w:bCs/>
      <w:sz w:val="36"/>
      <w:szCs w:val="36"/>
    </w:rPr>
  </w:style>
  <w:style w:type="paragraph" w:styleId="1348" w:customStyle="1">
    <w:name w:val="Char Char Char Char"/>
    <w:basedOn w:val="1267"/>
    <w:uiPriority w:val="0"/>
    <w:qFormat/>
    <w:pPr>
      <w:spacing w:line="360" w:lineRule="auto"/>
    </w:pPr>
    <w:rPr>
      <w:rFonts w:ascii="Tahoma" w:hAnsi="Tahoma"/>
      <w:sz w:val="24"/>
      <w:szCs w:val="24"/>
    </w:rPr>
  </w:style>
  <w:style w:type="paragraph" w:styleId="1349" w:customStyle="1">
    <w:name w:val="table_1stline"/>
    <w:basedOn w:val="1058"/>
    <w:uiPriority w:val="0"/>
    <w:qFormat/>
    <w:pPr>
      <w:jc w:val="left"/>
      <w:spacing w:before="120"/>
      <w:widowControl/>
    </w:pPr>
    <w:rPr>
      <w:bCs/>
      <w:sz w:val="20"/>
      <w:szCs w:val="20"/>
      <w:lang w:val="de-DE" w:eastAsia="de-DE"/>
    </w:rPr>
  </w:style>
  <w:style w:type="paragraph" w:styleId="1350" w:customStyle="1">
    <w:name w:val="font5"/>
    <w:basedOn w:val="1058"/>
    <w:uiPriority w:val="0"/>
    <w:qFormat/>
    <w:pPr>
      <w:jc w:val="left"/>
      <w:spacing w:before="100" w:beforeAutospacing="1" w:after="100" w:afterAutospacing="1"/>
      <w:widowControl/>
    </w:pPr>
    <w:rPr>
      <w:rFonts w:hint="eastAsia" w:ascii="宋体" w:hAnsi="宋体"/>
      <w:sz w:val="28"/>
      <w:szCs w:val="28"/>
    </w:rPr>
  </w:style>
  <w:style w:type="paragraph" w:styleId="1351" w:customStyle="1">
    <w:name w:val="标题1"/>
    <w:basedOn w:val="1058"/>
    <w:next w:val="105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5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35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354" w:customStyle="1">
    <w:name w:val="font41"/>
    <w:link w:val="1058"/>
    <w:uiPriority w:val="0"/>
    <w:qFormat/>
    <w:rPr>
      <w:rFonts w:ascii="Times New Roman" w:hAnsi="Times New Roman" w:cs="Times New Roman"/>
      <w:color w:val="000000"/>
      <w:sz w:val="20"/>
      <w:szCs w:val="20"/>
      <w:u w:val="none"/>
    </w:rPr>
  </w:style>
  <w:style w:type="character" w:styleId="1355" w:customStyle="1">
    <w:name w:val="font21"/>
    <w:link w:val="1058"/>
    <w:uiPriority w:val="0"/>
    <w:qFormat/>
    <w:rPr>
      <w:rFonts w:hint="eastAsia" w:ascii="宋体" w:hAnsi="宋体" w:eastAsia="宋体" w:cs="宋体"/>
      <w:b/>
      <w:bCs/>
      <w:color w:val="000000"/>
      <w:sz w:val="20"/>
      <w:szCs w:val="20"/>
      <w:u w:val="none"/>
    </w:rPr>
  </w:style>
  <w:style w:type="character" w:styleId="1356" w:customStyle="1">
    <w:name w:val="font31"/>
    <w:link w:val="1058"/>
    <w:uiPriority w:val="0"/>
    <w:qFormat/>
    <w:rPr>
      <w:rFonts w:ascii="Times New Roman" w:hAnsi="Times New Roman" w:cs="Times New Roman"/>
      <w:color w:val="000000"/>
      <w:sz w:val="20"/>
      <w:szCs w:val="20"/>
      <w:u w:val="none"/>
    </w:rPr>
  </w:style>
  <w:style w:type="paragraph" w:styleId="1357" w:customStyle="1">
    <w:name w:val="*正文"/>
    <w:basedOn w:val="1058"/>
    <w:uiPriority w:val="0"/>
    <w:qFormat/>
    <w:pPr>
      <w:ind w:firstLine="200"/>
      <w:spacing w:line="360" w:lineRule="auto"/>
    </w:pPr>
    <w:rPr>
      <w:rFonts w:eastAsia="仿宋_GB2312" w:cs="仿宋_GB2312"/>
      <w:sz w:val="32"/>
      <w:szCs w:val="24"/>
    </w:rPr>
  </w:style>
  <w:style w:type="numbering" w:styleId="13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customXml" Target="../customXml/item1.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86" textRotate="1"/>
    <customShpInfo spid="_x0000_s2087" textRotate="1"/>
    <customShpInfo spid="_x0000_s2076" textRotate="1"/>
    <customShpInfo spid="_x0000_s2088" textRotate="1"/>
    <customShpInfo spid="_x0000_s2089" textRotate="1"/>
    <customShpInfo spid="_x0000_s2078" textRotate="1"/>
    <customShpInfo spid="_x0000_s2090" textRotate="1"/>
    <customShpInfo spid="_x0000_s2091" textRotate="1"/>
    <customShpInfo spid="_x0000_s2080" textRotate="1"/>
    <customShpInfo spid="_x0000_s2062" textRotate="1"/>
    <customShpInfo spid="_x0000_s2092" textRotate="1"/>
    <customShpInfo spid="_x0000_s2068" textRotate="1"/>
    <customShpInfo spid="_x0000_s2093" textRotate="1"/>
    <customShpInfo spid="_x0000_s2058" textRotate="1"/>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曹瑜</cp:lastModifiedBy>
  <cp:revision>15</cp:revision>
  <dcterms:created xsi:type="dcterms:W3CDTF">2023-03-16T02:16:00Z</dcterms:created>
  <dcterms:modified xsi:type="dcterms:W3CDTF">2025-12-03T08:54:41Z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eyJoZGlkIjoiZGIzMGMxN2VhMzllNDdkOTMzOTRmMTg1ODFiMjk1YTUiLCJ1c2VySWQiOiI1NzA0MTgyNDIifQ==</vt:lpwstr>
  </property>
  <property fmtid="{D5CDD505-2E9C-101B-9397-08002B2CF9AE}" pid="3" name="KSOProductBuildVer">
    <vt:lpwstr>2052-11.8.2.12265</vt:lpwstr>
  </property>
  <property fmtid="{D5CDD505-2E9C-101B-9397-08002B2CF9AE}" pid="4" name="ICV">
    <vt:lpwstr>CE447ACFC7D442F5869170EB2CF9C89F_12</vt:lpwstr>
  </property>
</Properties>
</file>